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51B3C">
      <w:pPr>
        <w:spacing w:before="120" w:after="0"/>
        <w:rPr>
          <w:lang w:val="en-GB"/>
        </w:rPr>
      </w:pPr>
      <w:r>
        <w:rPr>
          <w:lang w:val="en-GB"/>
        </w:rPr>
        <w:t>Dear Contributor,</w:t>
      </w:r>
    </w:p>
    <w:p w:rsidR="00000000" w:rsidRDefault="00651B3C">
      <w:pPr>
        <w:spacing w:before="120" w:after="0"/>
        <w:rPr>
          <w:lang w:val="en-GB"/>
        </w:rPr>
      </w:pPr>
      <w:r>
        <w:rPr>
          <w:lang w:val="en-GB"/>
        </w:rPr>
        <w:t>Thank you for participating in the public consultation of the ICNIRP draft guidelines.</w:t>
      </w:r>
    </w:p>
    <w:p w:rsidR="00000000" w:rsidRDefault="00651B3C">
      <w:pPr>
        <w:spacing w:after="0"/>
        <w:rPr>
          <w:lang w:val="en-GB"/>
        </w:rPr>
      </w:pPr>
      <w:r>
        <w:rPr>
          <w:lang w:val="en-GB"/>
        </w:rPr>
        <w:t>Please note that it is important that ICNIRP understands exactly the points that you are making. To facilitate our task and avoid misunderstandings, pl</w:t>
      </w:r>
      <w:r>
        <w:rPr>
          <w:lang w:val="en-GB"/>
        </w:rPr>
        <w:t>ease:</w:t>
      </w:r>
    </w:p>
    <w:p w:rsidR="00000000" w:rsidRDefault="00651B3C">
      <w:pPr>
        <w:pStyle w:val="Listenabsatz"/>
        <w:numPr>
          <w:ilvl w:val="0"/>
          <w:numId w:val="1"/>
        </w:numPr>
        <w:spacing w:after="0"/>
        <w:ind w:left="1276" w:hanging="284"/>
        <w:rPr>
          <w:lang w:val="en-GB"/>
        </w:rPr>
      </w:pPr>
      <w:r>
        <w:rPr>
          <w:lang w:val="en-GB"/>
        </w:rPr>
        <w:t>be concise</w:t>
      </w:r>
    </w:p>
    <w:p w:rsidR="00000000" w:rsidRDefault="00651B3C">
      <w:pPr>
        <w:pStyle w:val="Listenabsatz"/>
        <w:numPr>
          <w:ilvl w:val="0"/>
          <w:numId w:val="1"/>
        </w:numPr>
        <w:spacing w:before="240" w:after="0"/>
        <w:ind w:left="1276" w:hanging="284"/>
        <w:rPr>
          <w:lang w:val="en-GB"/>
        </w:rPr>
      </w:pPr>
      <w:r>
        <w:rPr>
          <w:lang w:val="en-GB"/>
        </w:rPr>
        <w:t xml:space="preserve">be precise </w:t>
      </w:r>
    </w:p>
    <w:p w:rsidR="00000000" w:rsidRDefault="00651B3C">
      <w:pPr>
        <w:pStyle w:val="Listenabsatz"/>
        <w:numPr>
          <w:ilvl w:val="0"/>
          <w:numId w:val="1"/>
        </w:numPr>
        <w:spacing w:before="240" w:after="0"/>
        <w:ind w:left="1276" w:hanging="284"/>
        <w:rPr>
          <w:lang w:val="en-GB"/>
        </w:rPr>
      </w:pPr>
      <w:r>
        <w:rPr>
          <w:lang w:val="en-GB"/>
        </w:rPr>
        <w:t>provide supporting evidence (reference to publication, etc.) if available and helpful.</w:t>
      </w:r>
    </w:p>
    <w:p w:rsidR="00000000" w:rsidRDefault="00651B3C">
      <w:pPr>
        <w:spacing w:before="120" w:after="0"/>
        <w:rPr>
          <w:bCs/>
          <w:lang w:val="en-GB"/>
        </w:rPr>
      </w:pPr>
      <w:r>
        <w:rPr>
          <w:b/>
          <w:u w:val="single"/>
          <w:lang w:val="en-GB"/>
        </w:rPr>
        <w:t>How to complete the comments table</w:t>
      </w:r>
      <w:r>
        <w:rPr>
          <w:b/>
          <w:lang w:val="en-GB"/>
        </w:rPr>
        <w:t>:</w:t>
      </w:r>
      <w:r>
        <w:rPr>
          <w:bCs/>
          <w:lang w:val="en-GB"/>
        </w:rPr>
        <w:t xml:space="preserve"> </w:t>
      </w:r>
    </w:p>
    <w:p w:rsidR="00000000" w:rsidRDefault="00651B3C">
      <w:pPr>
        <w:spacing w:before="120" w:after="0"/>
        <w:rPr>
          <w:lang w:val="en-GB"/>
        </w:rPr>
      </w:pPr>
      <w:r>
        <w:rPr>
          <w:lang w:val="en-GB"/>
        </w:rPr>
        <w:t>Please use 1 row per comment. If required, please add extra rows to the table.</w:t>
      </w:r>
    </w:p>
    <w:p w:rsidR="00000000" w:rsidRDefault="00651B3C">
      <w:pPr>
        <w:spacing w:after="0"/>
      </w:pPr>
      <w:r>
        <w:t>This response document a</w:t>
      </w:r>
      <w:r>
        <w:t>sks you to provide your ‘comment’, your ‘proposed change’, and the ‘context’ to this comment and proposed change. What is meant by these is the following:</w:t>
      </w:r>
    </w:p>
    <w:p w:rsidR="00000000" w:rsidRDefault="00651B3C">
      <w:pPr>
        <w:spacing w:after="0"/>
        <w:ind w:left="708"/>
      </w:pPr>
      <w:r>
        <w:rPr>
          <w:b/>
        </w:rPr>
        <w:t>Comment :</w:t>
      </w:r>
      <w:r>
        <w:t xml:space="preserve"> A brief statement describing the issue that you have identified (and that you would like IC</w:t>
      </w:r>
      <w:r>
        <w:t>NIRP to take into account in the final version of the guidelines).</w:t>
      </w:r>
    </w:p>
    <w:p w:rsidR="00000000" w:rsidRDefault="00651B3C">
      <w:pPr>
        <w:spacing w:after="0"/>
        <w:ind w:firstLine="708"/>
      </w:pPr>
      <w:r>
        <w:rPr>
          <w:b/>
        </w:rPr>
        <w:t>Proposed Change:</w:t>
      </w:r>
      <w:r>
        <w:t xml:space="preserve"> A brief statement describing how you would like the document changed to account for this issue.</w:t>
      </w:r>
    </w:p>
    <w:p w:rsidR="00000000" w:rsidRDefault="00651B3C">
      <w:pPr>
        <w:spacing w:after="0"/>
        <w:ind w:firstLine="708"/>
        <w:rPr>
          <w:lang w:val="en-GB"/>
        </w:rPr>
      </w:pPr>
      <w:r>
        <w:rPr>
          <w:b/>
        </w:rPr>
        <w:t>Context:</w:t>
      </w:r>
      <w:r>
        <w:t xml:space="preserve"> A brief statement identifying relevant documents in support of your</w:t>
      </w:r>
      <w:r>
        <w:t xml:space="preserve"> comment and proposed change.</w:t>
      </w:r>
    </w:p>
    <w:p w:rsidR="00000000" w:rsidRDefault="00651B3C">
      <w:pPr>
        <w:spacing w:before="120" w:after="0"/>
        <w:rPr>
          <w:b/>
          <w:u w:val="single"/>
          <w:lang w:val="en-GB"/>
        </w:rPr>
      </w:pPr>
      <w:r>
        <w:rPr>
          <w:b/>
          <w:u w:val="single"/>
          <w:lang w:val="en-GB"/>
        </w:rPr>
        <w:t xml:space="preserve">Please, provide your details below as per the online form and the provision of the privacy policy </w:t>
      </w:r>
    </w:p>
    <w:tbl>
      <w:tblPr>
        <w:tblStyle w:val="Tabellenraster"/>
        <w:tblW w:w="0" w:type="auto"/>
        <w:tblInd w:w="-5" w:type="dxa"/>
        <w:tblLayout w:type="fixed"/>
        <w:tblLook w:val="0000" w:firstRow="0" w:lastRow="0" w:firstColumn="0" w:lastColumn="0" w:noHBand="0" w:noVBand="0"/>
      </w:tblPr>
      <w:tblGrid>
        <w:gridCol w:w="5103"/>
        <w:gridCol w:w="4290"/>
        <w:gridCol w:w="4641"/>
      </w:tblGrid>
      <w:tr w:rsidR="00000000">
        <w:tc>
          <w:tcPr>
            <w:tcW w:w="5103" w:type="dxa"/>
          </w:tcPr>
          <w:p w:rsidR="00000000" w:rsidRDefault="00651B3C">
            <w:pPr>
              <w:spacing w:before="120" w:afterLines="130" w:after="312" w:line="240" w:lineRule="auto"/>
              <w:rPr>
                <w:lang w:val="en-US"/>
              </w:rPr>
            </w:pPr>
            <w:r>
              <w:rPr>
                <w:lang w:val="en-US"/>
              </w:rPr>
              <w:t>Last name, first name:</w:t>
            </w:r>
            <w:r>
              <w:rPr>
                <w:lang w:val="en-US"/>
              </w:rPr>
              <w:tab/>
            </w:r>
            <w:r>
              <w:rPr>
                <w:lang w:val="en-US"/>
              </w:rPr>
              <w:t>GOICEANU, Cristian</w:t>
            </w:r>
          </w:p>
        </w:tc>
        <w:tc>
          <w:tcPr>
            <w:tcW w:w="4290" w:type="dxa"/>
          </w:tcPr>
          <w:p w:rsidR="00000000" w:rsidRDefault="00651B3C" w:rsidP="00651B3C">
            <w:pPr>
              <w:spacing w:before="120" w:afterLines="180" w:after="432" w:line="240" w:lineRule="auto"/>
              <w:ind w:left="176"/>
              <w:rPr>
                <w:lang w:val="en-US"/>
              </w:rPr>
            </w:pPr>
            <w:r>
              <w:rPr>
                <w:lang w:val="en-US"/>
              </w:rPr>
              <w:t xml:space="preserve">Email address: </w:t>
            </w:r>
            <w:bookmarkStart w:id="0" w:name="_GoBack"/>
            <w:bookmarkEnd w:id="0"/>
          </w:p>
        </w:tc>
        <w:tc>
          <w:tcPr>
            <w:tcW w:w="4641" w:type="dxa"/>
          </w:tcPr>
          <w:p w:rsidR="00000000" w:rsidRDefault="00651B3C">
            <w:pPr>
              <w:spacing w:before="120" w:afterLines="180" w:after="432" w:line="240" w:lineRule="auto"/>
              <w:rPr>
                <w:lang w:val="en-US"/>
              </w:rPr>
            </w:pPr>
            <w:r>
              <w:rPr>
                <w:lang w:val="en-US"/>
              </w:rPr>
              <w:t>A</w:t>
            </w:r>
            <w:r>
              <w:rPr>
                <w:lang w:val="en-US"/>
              </w:rPr>
              <w:t>ffiliation (if relevant): National Inst</w:t>
            </w:r>
            <w:r>
              <w:rPr>
                <w:lang w:val="en-US"/>
              </w:rPr>
              <w:t>itute of Public Health, Romania</w:t>
            </w:r>
          </w:p>
        </w:tc>
      </w:tr>
      <w:tr w:rsidR="00000000">
        <w:tc>
          <w:tcPr>
            <w:tcW w:w="14034" w:type="dxa"/>
            <w:gridSpan w:val="3"/>
          </w:tcPr>
          <w:p w:rsidR="00000000" w:rsidRDefault="00651B3C">
            <w:pPr>
              <w:spacing w:before="120" w:afterLines="130" w:after="312" w:line="240" w:lineRule="auto"/>
              <w:rPr>
                <w:lang w:val="en-GB"/>
              </w:rPr>
            </w:pPr>
            <w:r>
              <w:rPr>
                <w:lang w:val="en-GB"/>
              </w:rPr>
              <w:t xml:space="preserve">If you are providing these comments officially </w:t>
            </w:r>
            <w:r>
              <w:rPr>
                <w:b/>
                <w:bCs/>
                <w:lang w:val="en-GB"/>
              </w:rPr>
              <w:t>on behalf</w:t>
            </w:r>
            <w:r>
              <w:rPr>
                <w:lang w:val="en-GB"/>
              </w:rPr>
              <w:t xml:space="preserve"> of an organization/company, please name this here</w:t>
            </w:r>
            <w:r>
              <w:rPr>
                <w:lang w:val="en-US"/>
              </w:rPr>
              <w:t xml:space="preserve">: </w:t>
            </w:r>
            <w:r>
              <w:rPr>
                <w:rStyle w:val="Platzhaltertext"/>
              </w:rPr>
              <w:t>organization/company</w:t>
            </w:r>
            <w:r>
              <w:rPr>
                <w:lang w:val="en-GB"/>
              </w:rPr>
              <w:t xml:space="preserve">  </w:t>
            </w:r>
          </w:p>
        </w:tc>
      </w:tr>
      <w:tr w:rsidR="00000000">
        <w:tc>
          <w:tcPr>
            <w:tcW w:w="14034" w:type="dxa"/>
            <w:gridSpan w:val="3"/>
          </w:tcPr>
          <w:p w:rsidR="00000000" w:rsidRDefault="00651B3C">
            <w:pPr>
              <w:spacing w:before="120" w:after="0" w:line="240" w:lineRule="auto"/>
              <w:rPr>
                <w:color w:val="333333"/>
              </w:rPr>
            </w:pPr>
            <w:r>
              <w:rPr>
                <w:rFonts w:ascii="MS Gothic" w:eastAsia="MS Gothic" w:hAnsi="MS Gothic" w:hint="eastAsia"/>
                <w:color w:val="333333"/>
              </w:rPr>
              <w:t>☒</w:t>
            </w:r>
            <w:r>
              <w:rPr>
                <w:color w:val="333333"/>
              </w:rPr>
              <w:t xml:space="preserve"> I hereby agree that, for the purpose of transparency, </w:t>
            </w:r>
            <w:r>
              <w:rPr>
                <w:b/>
                <w:bCs/>
                <w:color w:val="333333"/>
              </w:rPr>
              <w:t xml:space="preserve">my identity (last and first names, </w:t>
            </w:r>
            <w:r>
              <w:rPr>
                <w:b/>
                <w:bCs/>
                <w:color w:val="333333"/>
              </w:rPr>
              <w:t xml:space="preserve">affiliation and organization where relevant) will be displayed </w:t>
            </w:r>
            <w:r>
              <w:rPr>
                <w:color w:val="333333"/>
              </w:rPr>
              <w:t>on the ICNIRP website after the consultation phase along with my comments.</w:t>
            </w:r>
          </w:p>
          <w:p w:rsidR="00000000" w:rsidRDefault="00651B3C">
            <w:pPr>
              <w:spacing w:before="120" w:afterLines="130" w:after="312" w:line="240" w:lineRule="auto"/>
              <w:rPr>
                <w:lang w:val="en-GB"/>
              </w:rPr>
            </w:pPr>
            <w:r>
              <w:rPr>
                <w:rFonts w:ascii="MS Gothic" w:eastAsia="MS Gothic" w:hAnsi="MS Gothic" w:hint="eastAsia"/>
                <w:color w:val="333333"/>
              </w:rPr>
              <w:lastRenderedPageBreak/>
              <w:t>☐</w:t>
            </w:r>
            <w:r>
              <w:rPr>
                <w:color w:val="333333"/>
              </w:rPr>
              <w:t xml:space="preserve"> I want my comments to be displayed anonymously.</w:t>
            </w:r>
          </w:p>
        </w:tc>
      </w:tr>
    </w:tbl>
    <w:p w:rsidR="00000000" w:rsidRDefault="00651B3C"/>
    <w:tbl>
      <w:tblPr>
        <w:tblStyle w:val="Tabellenraster"/>
        <w:tblpPr w:leftFromText="180" w:rightFromText="180" w:vertAnchor="text" w:horzAnchor="margin" w:tblpX="-572" w:tblpY="106"/>
        <w:tblW w:w="0" w:type="auto"/>
        <w:tblInd w:w="0" w:type="dxa"/>
        <w:tblLayout w:type="fixed"/>
        <w:tblCellMar>
          <w:top w:w="57" w:type="dxa"/>
          <w:left w:w="57" w:type="dxa"/>
          <w:bottom w:w="57" w:type="dxa"/>
          <w:right w:w="57" w:type="dxa"/>
        </w:tblCellMar>
        <w:tblLook w:val="0000" w:firstRow="0" w:lastRow="0" w:firstColumn="0" w:lastColumn="0" w:noHBand="0" w:noVBand="0"/>
      </w:tblPr>
      <w:tblGrid>
        <w:gridCol w:w="846"/>
        <w:gridCol w:w="1276"/>
        <w:gridCol w:w="992"/>
        <w:gridCol w:w="1158"/>
        <w:gridCol w:w="10915"/>
      </w:tblGrid>
      <w:tr w:rsidR="00000000">
        <w:trPr>
          <w:trHeight w:val="1209"/>
          <w:tblHeader/>
        </w:trPr>
        <w:tc>
          <w:tcPr>
            <w:tcW w:w="846" w:type="dxa"/>
          </w:tcPr>
          <w:p w:rsidR="00000000" w:rsidRDefault="00651B3C">
            <w:pPr>
              <w:keepLines/>
              <w:spacing w:before="40" w:after="40" w:line="240" w:lineRule="auto"/>
              <w:jc w:val="center"/>
              <w:rPr>
                <w:rFonts w:cs="Times New Roman"/>
                <w:b/>
                <w:sz w:val="20"/>
                <w:szCs w:val="20"/>
                <w:lang w:val="en-GB"/>
              </w:rPr>
            </w:pPr>
          </w:p>
        </w:tc>
        <w:tc>
          <w:tcPr>
            <w:tcW w:w="1276" w:type="dxa"/>
            <w:vAlign w:val="center"/>
          </w:tcPr>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Document</w:t>
            </w:r>
          </w:p>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(Guidelines, App A,</w:t>
            </w:r>
          </w:p>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App B)</w:t>
            </w:r>
          </w:p>
        </w:tc>
        <w:tc>
          <w:tcPr>
            <w:tcW w:w="992" w:type="dxa"/>
            <w:vAlign w:val="center"/>
          </w:tcPr>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Line Number</w:t>
            </w:r>
          </w:p>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w:t>
            </w:r>
          </w:p>
        </w:tc>
        <w:tc>
          <w:tcPr>
            <w:tcW w:w="1158" w:type="dxa"/>
            <w:vAlign w:val="center"/>
          </w:tcPr>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Type of comment</w:t>
            </w:r>
            <w:r>
              <w:rPr>
                <w:rFonts w:cs="Times New Roman"/>
                <w:b/>
                <w:sz w:val="20"/>
                <w:szCs w:val="20"/>
                <w:lang w:val="en-GB"/>
              </w:rPr>
              <w:t xml:space="preserve"> (General/ Technical/ Editorial)</w:t>
            </w:r>
          </w:p>
        </w:tc>
        <w:tc>
          <w:tcPr>
            <w:tcW w:w="10915" w:type="dxa"/>
            <w:vAlign w:val="center"/>
          </w:tcPr>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Comment. Proposed change. Context.</w:t>
            </w:r>
          </w:p>
        </w:tc>
      </w:tr>
      <w:tr w:rsidR="00000000">
        <w:trPr>
          <w:trHeight w:val="907"/>
        </w:trPr>
        <w:tc>
          <w:tcPr>
            <w:tcW w:w="846" w:type="dxa"/>
          </w:tcPr>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1</w:t>
            </w:r>
          </w:p>
        </w:tc>
        <w:tc>
          <w:tcPr>
            <w:tcW w:w="1276" w:type="dxa"/>
          </w:tcPr>
          <w:p w:rsidR="00000000" w:rsidRDefault="00651B3C">
            <w:pPr>
              <w:keepLines/>
              <w:spacing w:before="40" w:after="40" w:line="240" w:lineRule="auto"/>
              <w:rPr>
                <w:rFonts w:cs="Times New Roman"/>
                <w:sz w:val="20"/>
                <w:szCs w:val="20"/>
                <w:lang w:val="en-US"/>
              </w:rPr>
            </w:pPr>
            <w:r>
              <w:rPr>
                <w:rFonts w:cs="Times New Roman"/>
                <w:sz w:val="20"/>
                <w:szCs w:val="20"/>
                <w:lang w:val="de-DE"/>
              </w:rPr>
              <w:t>Guidelines</w:t>
            </w:r>
          </w:p>
        </w:tc>
        <w:tc>
          <w:tcPr>
            <w:tcW w:w="992" w:type="dxa"/>
          </w:tcPr>
          <w:p w:rsidR="00000000" w:rsidRDefault="00651B3C">
            <w:pPr>
              <w:keepLines/>
              <w:spacing w:before="40" w:after="40" w:line="240" w:lineRule="auto"/>
              <w:rPr>
                <w:rFonts w:cs="Times New Roman"/>
                <w:sz w:val="20"/>
                <w:szCs w:val="20"/>
                <w:lang w:val="en-US"/>
              </w:rPr>
            </w:pPr>
            <w:r>
              <w:rPr>
                <w:rStyle w:val="Zeilen"/>
                <w:lang w:val="en-US"/>
              </w:rPr>
              <w:t xml:space="preserve"> Table 1</w:t>
            </w:r>
          </w:p>
        </w:tc>
        <w:tc>
          <w:tcPr>
            <w:tcW w:w="1158" w:type="dxa"/>
          </w:tcPr>
          <w:p w:rsidR="00000000" w:rsidRDefault="00651B3C">
            <w:pPr>
              <w:keepLines/>
              <w:spacing w:before="40" w:after="40" w:line="240" w:lineRule="auto"/>
              <w:rPr>
                <w:rFonts w:cs="Times New Roman"/>
                <w:sz w:val="20"/>
                <w:szCs w:val="20"/>
                <w:lang w:val="en-US"/>
              </w:rPr>
            </w:pPr>
            <w:r>
              <w:rPr>
                <w:color w:val="000000"/>
              </w:rPr>
              <w:t>Editorial</w:t>
            </w:r>
          </w:p>
        </w:tc>
        <w:tc>
          <w:tcPr>
            <w:tcW w:w="10915" w:type="dxa"/>
          </w:tcPr>
          <w:p w:rsidR="00000000" w:rsidRDefault="00651B3C">
            <w:pPr>
              <w:keepLines/>
              <w:spacing w:after="60" w:line="240" w:lineRule="auto"/>
              <w:rPr>
                <w:rFonts w:cs="Times New Roman"/>
                <w:sz w:val="20"/>
                <w:szCs w:val="20"/>
                <w:lang w:val="en-US"/>
              </w:rPr>
            </w:pPr>
            <w:r>
              <w:rPr>
                <w:rFonts w:cs="Times New Roman"/>
                <w:sz w:val="20"/>
                <w:szCs w:val="20"/>
                <w:lang w:val="en-US"/>
              </w:rPr>
              <w:t>In Table 1, t</w:t>
            </w:r>
            <w:r>
              <w:rPr>
                <w:sz w:val="20"/>
                <w:szCs w:val="20"/>
                <w:lang w:val="en-US"/>
              </w:rPr>
              <w:t xml:space="preserve">he quantity </w:t>
            </w:r>
            <w:r>
              <w:rPr>
                <w:sz w:val="20"/>
                <w:szCs w:val="20"/>
                <w:lang w:val="en-US"/>
              </w:rPr>
              <w:t>“</w:t>
            </w:r>
            <w:r>
              <w:rPr>
                <w:b/>
                <w:bCs/>
                <w:sz w:val="20"/>
                <w:szCs w:val="20"/>
                <w:lang w:val="en-US"/>
              </w:rPr>
              <w:t>incident energy density</w:t>
            </w:r>
            <w:r>
              <w:rPr>
                <w:sz w:val="20"/>
                <w:szCs w:val="20"/>
                <w:lang w:val="en-US"/>
              </w:rPr>
              <w:t>” was omitted</w:t>
            </w:r>
            <w:r>
              <w:rPr>
                <w:lang w:val="en-US"/>
              </w:rPr>
              <w:t>.</w:t>
            </w:r>
          </w:p>
          <w:p w:rsidR="00000000" w:rsidRDefault="00651B3C">
            <w:pPr>
              <w:pStyle w:val="Default"/>
              <w:spacing w:after="60"/>
              <w:rPr>
                <w:rFonts w:ascii="Times New Roman" w:hAnsi="Times New Roman" w:cs="Times New Roman"/>
                <w:lang w:val="en-US"/>
              </w:rPr>
            </w:pPr>
            <w:r>
              <w:rPr>
                <w:rFonts w:ascii="Calibri" w:eastAsia="SimSun" w:hAnsi="Arial" w:cs="Arial"/>
                <w:sz w:val="20"/>
                <w:szCs w:val="20"/>
                <w:lang w:val="en-US"/>
              </w:rPr>
              <w:t>An additional row should be inserted to the table to include this quantity (H</w:t>
            </w:r>
            <w:r>
              <w:rPr>
                <w:rFonts w:ascii="Calibri" w:eastAsia="SimSun" w:hAnsi="Arial" w:cs="Arial"/>
                <w:sz w:val="20"/>
                <w:szCs w:val="20"/>
                <w:vertAlign w:val="subscript"/>
                <w:lang w:val="en-US"/>
              </w:rPr>
              <w:t>inc</w:t>
            </w:r>
            <w:r>
              <w:rPr>
                <w:rFonts w:ascii="Calibri" w:eastAsia="SimSun" w:hAnsi="Arial" w:cs="Arial"/>
                <w:sz w:val="20"/>
                <w:szCs w:val="20"/>
                <w:lang w:val="en-US"/>
              </w:rPr>
              <w:t>).</w:t>
            </w:r>
          </w:p>
          <w:p w:rsidR="00000000" w:rsidRDefault="00651B3C">
            <w:pPr>
              <w:pStyle w:val="Default"/>
              <w:spacing w:after="60"/>
              <w:rPr>
                <w:rFonts w:ascii="Times New Roman" w:hAnsi="Times New Roman" w:cs="Times New Roman"/>
                <w:lang w:val="en-US"/>
              </w:rPr>
            </w:pPr>
            <w:r>
              <w:rPr>
                <w:rFonts w:ascii="Calibri" w:hAnsi="Arial" w:cs="Arial"/>
                <w:sz w:val="20"/>
                <w:szCs w:val="20"/>
                <w:lang w:val="en-US"/>
              </w:rPr>
              <w:t>Referenc</w:t>
            </w:r>
            <w:r>
              <w:rPr>
                <w:rFonts w:ascii="Calibri" w:hAnsi="Arial" w:cs="Arial"/>
                <w:sz w:val="20"/>
                <w:szCs w:val="20"/>
                <w:lang w:val="en-US"/>
              </w:rPr>
              <w:t>e levels (RL) are provided for incident energy density, therefore, this quantity needs to be included in Table 1</w:t>
            </w:r>
            <w:r>
              <w:rPr>
                <w:rFonts w:ascii="Calibri"/>
                <w:sz w:val="20"/>
                <w:szCs w:val="20"/>
                <w:lang w:val="en-US"/>
              </w:rPr>
              <w:t>.</w:t>
            </w:r>
          </w:p>
        </w:tc>
      </w:tr>
      <w:tr w:rsidR="00000000">
        <w:trPr>
          <w:trHeight w:val="907"/>
        </w:trPr>
        <w:tc>
          <w:tcPr>
            <w:tcW w:w="846" w:type="dxa"/>
          </w:tcPr>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2</w:t>
            </w:r>
          </w:p>
        </w:tc>
        <w:tc>
          <w:tcPr>
            <w:tcW w:w="1276" w:type="dxa"/>
          </w:tcPr>
          <w:p w:rsidR="00000000" w:rsidRDefault="00651B3C">
            <w:pPr>
              <w:keepLines/>
              <w:spacing w:before="40" w:after="40" w:line="240" w:lineRule="auto"/>
              <w:rPr>
                <w:rFonts w:cs="Times New Roman"/>
                <w:sz w:val="20"/>
                <w:szCs w:val="20"/>
                <w:lang w:val="en-US"/>
              </w:rPr>
            </w:pPr>
            <w:r>
              <w:rPr>
                <w:rFonts w:cs="Times New Roman"/>
                <w:sz w:val="20"/>
                <w:szCs w:val="20"/>
                <w:lang w:val="de-DE"/>
              </w:rPr>
              <w:t>Guidelines</w:t>
            </w:r>
          </w:p>
        </w:tc>
        <w:tc>
          <w:tcPr>
            <w:tcW w:w="992" w:type="dxa"/>
          </w:tcPr>
          <w:p w:rsidR="00000000" w:rsidRDefault="00651B3C">
            <w:pPr>
              <w:keepLines/>
              <w:spacing w:before="40" w:after="40" w:line="240" w:lineRule="auto"/>
              <w:rPr>
                <w:rFonts w:cs="Times New Roman"/>
                <w:sz w:val="20"/>
                <w:szCs w:val="20"/>
                <w:lang w:val="en-US"/>
              </w:rPr>
            </w:pPr>
            <w:r>
              <w:rPr>
                <w:rStyle w:val="Zeilen"/>
                <w:lang w:val="en-US"/>
              </w:rPr>
              <w:t>243</w:t>
            </w:r>
          </w:p>
        </w:tc>
        <w:tc>
          <w:tcPr>
            <w:tcW w:w="1158" w:type="dxa"/>
          </w:tcPr>
          <w:p w:rsidR="00000000" w:rsidRDefault="00651B3C">
            <w:pPr>
              <w:keepLines/>
              <w:spacing w:before="40" w:after="40" w:line="240" w:lineRule="auto"/>
              <w:rPr>
                <w:rFonts w:cs="Times New Roman"/>
                <w:sz w:val="20"/>
                <w:szCs w:val="20"/>
                <w:lang w:val="en-US"/>
              </w:rPr>
            </w:pPr>
            <w:r>
              <w:rPr>
                <w:rFonts w:cs="Times New Roman"/>
                <w:lang w:val="de-DE"/>
              </w:rPr>
              <w:t>Technical</w:t>
            </w:r>
          </w:p>
        </w:tc>
        <w:tc>
          <w:tcPr>
            <w:tcW w:w="10915" w:type="dxa"/>
          </w:tcPr>
          <w:p w:rsidR="00000000" w:rsidRDefault="00651B3C">
            <w:pPr>
              <w:keepLines/>
              <w:spacing w:after="60" w:line="240" w:lineRule="auto"/>
              <w:rPr>
                <w:rFonts w:cs="Times New Roman"/>
                <w:sz w:val="20"/>
                <w:szCs w:val="20"/>
                <w:lang w:val="en-US"/>
              </w:rPr>
            </w:pPr>
            <w:r>
              <w:rPr>
                <w:sz w:val="20"/>
                <w:szCs w:val="20"/>
                <w:lang w:val="en-US"/>
              </w:rPr>
              <w:t>The expression “</w:t>
            </w:r>
            <w:r>
              <w:rPr>
                <w:b/>
                <w:bCs/>
                <w:sz w:val="20"/>
                <w:szCs w:val="20"/>
                <w:lang w:val="en-US"/>
              </w:rPr>
              <w:t xml:space="preserve">same </w:t>
            </w:r>
            <w:r>
              <w:rPr>
                <w:sz w:val="20"/>
                <w:szCs w:val="20"/>
                <w:lang w:val="en-US"/>
              </w:rPr>
              <w:t xml:space="preserve">absorbed radiofrequency </w:t>
            </w:r>
            <w:r>
              <w:rPr>
                <w:b/>
                <w:bCs/>
                <w:sz w:val="20"/>
                <w:szCs w:val="20"/>
                <w:lang w:val="en-US"/>
              </w:rPr>
              <w:t>power</w:t>
            </w:r>
            <w:r>
              <w:rPr>
                <w:sz w:val="20"/>
                <w:szCs w:val="20"/>
                <w:lang w:val="en-US"/>
              </w:rPr>
              <w:t>” might be misleading to the reader.</w:t>
            </w:r>
          </w:p>
          <w:p w:rsidR="00000000" w:rsidRDefault="00651B3C">
            <w:pPr>
              <w:pStyle w:val="Default"/>
              <w:spacing w:after="60"/>
              <w:rPr>
                <w:rFonts w:ascii="Times New Roman" w:hAnsi="Times New Roman" w:cs="Times New Roman"/>
                <w:lang w:val="en-US"/>
              </w:rPr>
            </w:pPr>
            <w:r>
              <w:rPr>
                <w:rFonts w:ascii="Calibri"/>
                <w:sz w:val="20"/>
                <w:szCs w:val="20"/>
                <w:lang w:val="en-US"/>
              </w:rPr>
              <w:t>It would be advisable to ch</w:t>
            </w:r>
            <w:r>
              <w:rPr>
                <w:rFonts w:ascii="Calibri"/>
                <w:sz w:val="20"/>
                <w:szCs w:val="20"/>
                <w:lang w:val="en-US"/>
              </w:rPr>
              <w:t xml:space="preserve">ange </w:t>
            </w:r>
            <w:r>
              <w:rPr>
                <w:rFonts w:ascii="Calibri"/>
                <w:sz w:val="20"/>
                <w:szCs w:val="20"/>
                <w:lang w:val="en-US"/>
              </w:rPr>
              <w:t>“</w:t>
            </w:r>
            <w:r>
              <w:rPr>
                <w:rFonts w:ascii="Calibri"/>
                <w:sz w:val="20"/>
                <w:szCs w:val="20"/>
                <w:lang w:val="en-US"/>
              </w:rPr>
              <w:t>power</w:t>
            </w:r>
            <w:r>
              <w:rPr>
                <w:rFonts w:ascii="Calibri"/>
                <w:sz w:val="20"/>
                <w:szCs w:val="20"/>
                <w:lang w:val="en-US"/>
              </w:rPr>
              <w:t>”</w:t>
            </w:r>
            <w:r>
              <w:rPr>
                <w:rFonts w:ascii="Calibri"/>
                <w:sz w:val="20"/>
                <w:szCs w:val="20"/>
                <w:lang w:val="en-US"/>
              </w:rPr>
              <w:t xml:space="preserve"> with</w:t>
            </w:r>
            <w:r>
              <w:rPr>
                <w:rFonts w:ascii="Calibri"/>
                <w:sz w:val="20"/>
                <w:szCs w:val="20"/>
                <w:lang w:val="en-US"/>
              </w:rPr>
              <w:t>”</w:t>
            </w:r>
            <w:r>
              <w:rPr>
                <w:rFonts w:ascii="Calibri"/>
                <w:sz w:val="20"/>
                <w:szCs w:val="20"/>
                <w:lang w:val="en-US"/>
              </w:rPr>
              <w:t>energy</w:t>
            </w:r>
            <w:r>
              <w:rPr>
                <w:rFonts w:ascii="Calibri"/>
                <w:sz w:val="20"/>
                <w:szCs w:val="20"/>
                <w:lang w:val="en-US"/>
              </w:rPr>
              <w:t>”</w:t>
            </w:r>
            <w:r>
              <w:rPr>
                <w:rFonts w:ascii="Calibri"/>
                <w:sz w:val="20"/>
                <w:szCs w:val="20"/>
                <w:lang w:val="en-US"/>
              </w:rPr>
              <w:t xml:space="preserve">: </w:t>
            </w:r>
            <w:r>
              <w:rPr>
                <w:rFonts w:ascii="Calibri"/>
                <w:sz w:val="20"/>
                <w:szCs w:val="20"/>
                <w:lang w:val="en-US"/>
              </w:rPr>
              <w:t>“</w:t>
            </w:r>
            <w:r>
              <w:rPr>
                <w:rFonts w:ascii="Calibri"/>
                <w:sz w:val="20"/>
                <w:szCs w:val="20"/>
                <w:lang w:val="en-US"/>
              </w:rPr>
              <w:t xml:space="preserve">same absorbed radiofrequency </w:t>
            </w:r>
            <w:r>
              <w:rPr>
                <w:rFonts w:ascii="Calibri"/>
                <w:b/>
                <w:bCs/>
                <w:sz w:val="20"/>
                <w:szCs w:val="20"/>
                <w:lang w:val="en-US"/>
              </w:rPr>
              <w:t>energy</w:t>
            </w:r>
            <w:r>
              <w:rPr>
                <w:rFonts w:ascii="Calibri"/>
                <w:sz w:val="20"/>
                <w:szCs w:val="20"/>
                <w:lang w:val="en-US"/>
              </w:rPr>
              <w:t>”</w:t>
            </w:r>
            <w:r>
              <w:rPr>
                <w:rFonts w:ascii="Calibri"/>
                <w:sz w:val="20"/>
                <w:szCs w:val="20"/>
                <w:lang w:val="en-US"/>
              </w:rPr>
              <w:t>.</w:t>
            </w:r>
          </w:p>
          <w:p w:rsidR="00000000" w:rsidRDefault="00651B3C">
            <w:pPr>
              <w:pStyle w:val="Default"/>
              <w:spacing w:after="60"/>
              <w:rPr>
                <w:rFonts w:ascii="Times New Roman" w:hAnsi="Times New Roman" w:cs="Times New Roman"/>
                <w:lang w:val="en-US"/>
              </w:rPr>
            </w:pPr>
            <w:r>
              <w:rPr>
                <w:rFonts w:ascii="Calibri" w:eastAsia="SimSun" w:hAnsi="SimSun" w:cs="SimSun" w:hint="eastAsia"/>
                <w:sz w:val="20"/>
                <w:szCs w:val="20"/>
                <w:lang w:val="en-US"/>
              </w:rPr>
              <w:t>The two exposure scenarios concerning</w:t>
            </w:r>
            <w:r>
              <w:rPr>
                <w:rFonts w:ascii="Calibri" w:eastAsia="SimSun" w:hAnsi="SimSun" w:cs="SimSun" w:hint="eastAsia"/>
                <w:sz w:val="20"/>
                <w:szCs w:val="20"/>
                <w:lang w:val="en-US"/>
              </w:rPr>
              <w:t>“</w:t>
            </w:r>
            <w:r>
              <w:rPr>
                <w:rFonts w:ascii="Calibri" w:eastAsia="SimSun" w:hAnsi="SimSun" w:cs="SimSun" w:hint="eastAsia"/>
                <w:sz w:val="20"/>
                <w:szCs w:val="20"/>
                <w:lang w:val="en-US"/>
              </w:rPr>
              <w:t>steady-state temperature elevations</w:t>
            </w:r>
            <w:r>
              <w:rPr>
                <w:rFonts w:ascii="Calibri" w:eastAsia="SimSun" w:hAnsi="SimSun" w:cs="SimSun" w:hint="eastAsia"/>
                <w:sz w:val="20"/>
                <w:szCs w:val="20"/>
                <w:lang w:val="en-US"/>
              </w:rPr>
              <w:t>”</w:t>
            </w:r>
            <w:r>
              <w:rPr>
                <w:rFonts w:ascii="Calibri" w:eastAsia="SimSun" w:hAnsi="SimSun" w:cs="SimSun" w:hint="eastAsia"/>
                <w:sz w:val="20"/>
                <w:szCs w:val="20"/>
                <w:lang w:val="en-US"/>
              </w:rPr>
              <w:t xml:space="preserve"> and </w:t>
            </w:r>
            <w:r>
              <w:rPr>
                <w:rFonts w:ascii="Calibri" w:eastAsia="SimSun" w:hAnsi="SimSun" w:cs="SimSun" w:hint="eastAsia"/>
                <w:sz w:val="20"/>
                <w:szCs w:val="20"/>
                <w:lang w:val="en-US"/>
              </w:rPr>
              <w:t>“</w:t>
            </w:r>
            <w:r>
              <w:rPr>
                <w:rFonts w:ascii="Calibri" w:eastAsia="SimSun" w:hAnsi="SimSun" w:cs="SimSun" w:hint="eastAsia"/>
                <w:sz w:val="20"/>
                <w:szCs w:val="20"/>
                <w:lang w:val="en-US"/>
              </w:rPr>
              <w:t>brief temperature elevations</w:t>
            </w:r>
            <w:r>
              <w:rPr>
                <w:rFonts w:ascii="Calibri" w:eastAsia="SimSun" w:hAnsi="SimSun" w:cs="SimSun" w:hint="eastAsia"/>
                <w:sz w:val="20"/>
                <w:szCs w:val="20"/>
                <w:lang w:val="en-US"/>
              </w:rPr>
              <w:t>”</w:t>
            </w:r>
            <w:r>
              <w:rPr>
                <w:rFonts w:ascii="Calibri" w:eastAsia="SimSun" w:hAnsi="SimSun" w:cs="SimSun" w:hint="eastAsia"/>
                <w:sz w:val="20"/>
                <w:szCs w:val="20"/>
                <w:lang w:val="en-US"/>
              </w:rPr>
              <w:t xml:space="preserve"> are related to different incident power densities that lead to different absorbe</w:t>
            </w:r>
            <w:r>
              <w:rPr>
                <w:rFonts w:ascii="Calibri" w:eastAsia="SimSun" w:hAnsi="SimSun" w:cs="SimSun" w:hint="eastAsia"/>
                <w:sz w:val="20"/>
                <w:szCs w:val="20"/>
                <w:lang w:val="en-US"/>
              </w:rPr>
              <w:t>d powers. It is the amount of briefly absorbed energy that cannot rapidly dissipate through thermal processes which is of importance in this matter. In this draft guidelines, basic restrictions for brief exposures are based on quantities related to energy:</w:t>
            </w:r>
            <w:r>
              <w:rPr>
                <w:rFonts w:ascii="Calibri" w:eastAsia="SimSun" w:hAnsi="SimSun" w:cs="SimSun" w:hint="eastAsia"/>
                <w:sz w:val="20"/>
                <w:szCs w:val="20"/>
                <w:lang w:val="en-US"/>
              </w:rPr>
              <w:t xml:space="preserve"> specific absorption and transmitted energy density.</w:t>
            </w:r>
          </w:p>
        </w:tc>
      </w:tr>
      <w:tr w:rsidR="00000000">
        <w:trPr>
          <w:trHeight w:val="907"/>
        </w:trPr>
        <w:tc>
          <w:tcPr>
            <w:tcW w:w="846" w:type="dxa"/>
          </w:tcPr>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3</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Guidelines</w:t>
            </w:r>
          </w:p>
        </w:tc>
        <w:tc>
          <w:tcPr>
            <w:tcW w:w="992" w:type="dxa"/>
          </w:tcPr>
          <w:p w:rsidR="00000000" w:rsidRDefault="00651B3C">
            <w:pPr>
              <w:keepLines/>
              <w:spacing w:before="40" w:after="40" w:line="240" w:lineRule="auto"/>
              <w:rPr>
                <w:rFonts w:cs="Times New Roman"/>
                <w:sz w:val="20"/>
                <w:szCs w:val="20"/>
                <w:lang w:val="de-DE"/>
              </w:rPr>
            </w:pPr>
            <w:r>
              <w:rPr>
                <w:rStyle w:val="Platzhaltertext"/>
                <w:color w:val="000000"/>
                <w:sz w:val="20"/>
                <w:szCs w:val="20"/>
              </w:rPr>
              <w:t>Table 4</w:t>
            </w:r>
          </w:p>
        </w:tc>
        <w:tc>
          <w:tcPr>
            <w:tcW w:w="1158" w:type="dxa"/>
          </w:tcPr>
          <w:p w:rsidR="00000000" w:rsidRDefault="00651B3C">
            <w:pPr>
              <w:keepLines/>
              <w:spacing w:before="40" w:after="40" w:line="240" w:lineRule="auto"/>
              <w:rPr>
                <w:rFonts w:cs="Times New Roman"/>
                <w:sz w:val="20"/>
                <w:szCs w:val="20"/>
                <w:lang w:val="en-US"/>
              </w:rPr>
            </w:pPr>
            <w:r>
              <w:rPr>
                <w:color w:val="000000"/>
              </w:rPr>
              <w:t>Technical</w:t>
            </w:r>
          </w:p>
        </w:tc>
        <w:tc>
          <w:tcPr>
            <w:tcW w:w="10915" w:type="dxa"/>
          </w:tcPr>
          <w:p w:rsidR="00000000" w:rsidRDefault="00651B3C">
            <w:pPr>
              <w:keepLines/>
              <w:spacing w:after="60" w:line="240" w:lineRule="auto"/>
              <w:rPr>
                <w:rFonts w:cs="Times New Roman"/>
                <w:sz w:val="20"/>
                <w:szCs w:val="20"/>
                <w:lang w:val="en-US"/>
              </w:rPr>
            </w:pPr>
            <w:r>
              <w:rPr>
                <w:rStyle w:val="Platzhaltertext"/>
                <w:color w:val="000000"/>
                <w:sz w:val="20"/>
                <w:szCs w:val="20"/>
                <w:lang w:val="en-US"/>
              </w:rPr>
              <w:t xml:space="preserve">Below 1.5 MHz, the frequency-dependent RL values for E-field are large. At 100 kHz, the occupational RL is extremely large: 12.2 kV/m. That is much larger than the RL for </w:t>
            </w:r>
            <w:r>
              <w:rPr>
                <w:rStyle w:val="Platzhaltertext"/>
                <w:color w:val="000000"/>
                <w:sz w:val="20"/>
                <w:szCs w:val="20"/>
                <w:lang w:val="en-US"/>
              </w:rPr>
              <w:t>nerve stimulation in the 3 kHz - 10 MHz frequency band that is 170 V/m (ICNIRP 2010)</w:t>
            </w:r>
            <w:r>
              <w:rPr>
                <w:rStyle w:val="Platzhaltertext"/>
                <w:sz w:val="20"/>
                <w:szCs w:val="20"/>
                <w:lang w:val="en-US"/>
              </w:rPr>
              <w:t>.</w:t>
            </w:r>
          </w:p>
          <w:p w:rsidR="00000000" w:rsidRDefault="00651B3C">
            <w:pPr>
              <w:pStyle w:val="Default"/>
              <w:spacing w:after="60"/>
              <w:rPr>
                <w:rFonts w:ascii="Times New Roman" w:hAnsi="Times New Roman" w:cs="Times New Roman"/>
                <w:lang w:val="en-US"/>
              </w:rPr>
            </w:pPr>
            <w:r>
              <w:rPr>
                <w:rStyle w:val="Platzhaltertext"/>
                <w:rFonts w:ascii="Calibri" w:hAnsi="Calibri"/>
                <w:color w:val="000000"/>
                <w:sz w:val="20"/>
                <w:szCs w:val="20"/>
                <w:lang w:val="en-US"/>
              </w:rPr>
              <w:t>Below 10 MHz, RL for E-field should not exceed about 850 V/m rms. Therefore, I propose to change the E-field RL function below 20 MHz from 1220/f  to 272/ f</w:t>
            </w:r>
            <w:r>
              <w:rPr>
                <w:rStyle w:val="Platzhaltertext"/>
                <w:rFonts w:ascii="Calibri" w:hAnsi="Calibri"/>
                <w:color w:val="000000"/>
                <w:sz w:val="20"/>
                <w:szCs w:val="20"/>
                <w:vertAlign w:val="superscript"/>
                <w:lang w:val="en-US"/>
              </w:rPr>
              <w:t>1/2</w:t>
            </w:r>
            <w:r>
              <w:rPr>
                <w:rStyle w:val="Platzhaltertext"/>
                <w:rFonts w:ascii="Calibri" w:hAnsi="Calibri"/>
                <w:color w:val="000000"/>
                <w:sz w:val="20"/>
                <w:szCs w:val="20"/>
                <w:lang w:val="en-US"/>
              </w:rPr>
              <w:t xml:space="preserve"> , i.e. 272</w:t>
            </w:r>
            <w:r>
              <w:rPr>
                <w:rStyle w:val="Platzhaltertext"/>
                <w:rFonts w:ascii="Calibri" w:hAnsi="Calibri"/>
                <w:color w:val="000000"/>
                <w:sz w:val="20"/>
                <w:szCs w:val="20"/>
                <w:lang w:val="en-US"/>
              </w:rPr>
              <w:t>/sqrt(f). This function gives the following values at 100 kHz, 1 MHz and 20 MHz, respectively: 860 V/m, 272 V/m and 61 V/m. Therefore, the target of not exceeding 850 V/m is well accomplished and the value at 20 MHz remains unchanged (61 V/m).</w:t>
            </w:r>
          </w:p>
          <w:p w:rsidR="00000000" w:rsidRDefault="00651B3C">
            <w:pPr>
              <w:pStyle w:val="Default"/>
              <w:spacing w:after="60"/>
              <w:rPr>
                <w:rFonts w:ascii="Times New Roman" w:hAnsi="Times New Roman" w:cs="Times New Roman"/>
                <w:lang w:val="en-US"/>
              </w:rPr>
            </w:pPr>
            <w:r>
              <w:rPr>
                <w:rStyle w:val="Platzhaltertext"/>
                <w:rFonts w:ascii="Calibri" w:hAnsi="Calibri"/>
                <w:color w:val="000000"/>
                <w:sz w:val="20"/>
                <w:szCs w:val="20"/>
                <w:lang w:val="en-US"/>
              </w:rPr>
              <w:t>The large RL</w:t>
            </w:r>
            <w:r>
              <w:rPr>
                <w:rStyle w:val="Platzhaltertext"/>
                <w:rFonts w:ascii="Calibri" w:hAnsi="Calibri"/>
                <w:color w:val="000000"/>
                <w:sz w:val="20"/>
                <w:szCs w:val="20"/>
                <w:lang w:val="en-US"/>
              </w:rPr>
              <w:t xml:space="preserve"> values for the E-field below 1 MHz, especially downwards 100 KHz do not fit to the RL values and philosophy of the low-frequency ICNIRP guidelines from 2010. ICNIRP recommended that the low-frequency restrictions be regarded as “instantaneous values which</w:t>
            </w:r>
            <w:r>
              <w:rPr>
                <w:rStyle w:val="Platzhaltertext"/>
                <w:rFonts w:ascii="Calibri" w:hAnsi="Calibri"/>
                <w:color w:val="000000"/>
                <w:sz w:val="20"/>
                <w:szCs w:val="20"/>
                <w:lang w:val="en-US"/>
              </w:rPr>
              <w:t xml:space="preserve"> should not be time averaged”. Moreover, considering a reduction factor of 5 for occupational exposure was used to set basic restriction for nerve stimulation, we may conclude that thermal RL for E-field in the 100 kHz - 10 MHz frequency band should not ex</w:t>
            </w:r>
            <w:r>
              <w:rPr>
                <w:rStyle w:val="Platzhaltertext"/>
                <w:rFonts w:ascii="Calibri" w:hAnsi="Calibri"/>
                <w:color w:val="000000"/>
                <w:sz w:val="20"/>
                <w:szCs w:val="20"/>
                <w:lang w:val="en-US"/>
              </w:rPr>
              <w:t>ceed by more than 5 times the RL for nerve stimulation, i.e. 850 V/m.</w:t>
            </w:r>
          </w:p>
        </w:tc>
      </w:tr>
      <w:tr w:rsidR="00000000">
        <w:trPr>
          <w:trHeight w:val="907"/>
        </w:trPr>
        <w:tc>
          <w:tcPr>
            <w:tcW w:w="846" w:type="dxa"/>
          </w:tcPr>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4</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Guidelines</w:t>
            </w:r>
          </w:p>
        </w:tc>
        <w:tc>
          <w:tcPr>
            <w:tcW w:w="992" w:type="dxa"/>
          </w:tcPr>
          <w:p w:rsidR="00000000" w:rsidRDefault="00651B3C">
            <w:pPr>
              <w:keepLines/>
              <w:spacing w:before="40" w:after="40" w:line="240" w:lineRule="auto"/>
              <w:rPr>
                <w:rFonts w:cs="Times New Roman"/>
                <w:sz w:val="20"/>
                <w:szCs w:val="20"/>
                <w:lang w:val="de-DE"/>
              </w:rPr>
            </w:pPr>
            <w:r>
              <w:rPr>
                <w:rStyle w:val="Zeilen"/>
                <w:lang w:val="en-US"/>
              </w:rPr>
              <w:t>Table 4</w:t>
            </w:r>
          </w:p>
        </w:tc>
        <w:tc>
          <w:tcPr>
            <w:tcW w:w="1158" w:type="dxa"/>
          </w:tcPr>
          <w:p w:rsidR="00000000" w:rsidRDefault="00651B3C">
            <w:pPr>
              <w:keepLines/>
              <w:spacing w:before="40" w:after="40" w:line="240" w:lineRule="auto"/>
              <w:rPr>
                <w:rFonts w:cs="Times New Roman"/>
                <w:sz w:val="20"/>
                <w:szCs w:val="20"/>
                <w:lang w:val="en-US"/>
              </w:rPr>
            </w:pPr>
            <w:r>
              <w:rPr>
                <w:color w:val="000000"/>
              </w:rPr>
              <w:t>Technical</w:t>
            </w:r>
          </w:p>
        </w:tc>
        <w:tc>
          <w:tcPr>
            <w:tcW w:w="10915" w:type="dxa"/>
          </w:tcPr>
          <w:p w:rsidR="00000000" w:rsidRDefault="00651B3C">
            <w:pPr>
              <w:keepLines/>
              <w:spacing w:after="60" w:line="240" w:lineRule="auto"/>
              <w:rPr>
                <w:rFonts w:cs="Times New Roman"/>
                <w:sz w:val="20"/>
                <w:szCs w:val="20"/>
                <w:lang w:val="en-US"/>
              </w:rPr>
            </w:pPr>
            <w:r>
              <w:rPr>
                <w:rStyle w:val="Platzhaltertext"/>
                <w:color w:val="000000"/>
                <w:sz w:val="20"/>
                <w:szCs w:val="20"/>
                <w:lang w:val="en-US"/>
              </w:rPr>
              <w:t>Same as in the case above of the RL for occupational exposure, the E-field RL for general public at frequencies below 1 MHz are very large. At 100 kHz, th</w:t>
            </w:r>
            <w:r>
              <w:rPr>
                <w:rStyle w:val="Platzhaltertext"/>
                <w:color w:val="000000"/>
                <w:sz w:val="20"/>
                <w:szCs w:val="20"/>
                <w:lang w:val="en-US"/>
              </w:rPr>
              <w:t>e general public RL is 5.6 kV/m which is much larger than the RL for nerve stimulation in the 3 kHz - 10 MHz frequency band of 83 V/m (ICNIRP 2010).</w:t>
            </w:r>
          </w:p>
          <w:p w:rsidR="00000000" w:rsidRDefault="00651B3C">
            <w:pPr>
              <w:rPr>
                <w:rFonts w:ascii="Times New Roman" w:hAnsi="Times New Roman" w:cs="Times New Roman"/>
                <w:lang w:val="en-US"/>
              </w:rPr>
            </w:pPr>
            <w:r>
              <w:rPr>
                <w:sz w:val="20"/>
                <w:szCs w:val="20"/>
                <w:lang w:val="en-US"/>
              </w:rPr>
              <w:t xml:space="preserve">In the case of general public, considering an additional reduction factor of 2, the </w:t>
            </w:r>
            <w:r>
              <w:rPr>
                <w:sz w:val="20"/>
                <w:szCs w:val="20"/>
                <w:lang w:val="en-US"/>
              </w:rPr>
              <w:t>RL for E-field should n</w:t>
            </w:r>
            <w:r>
              <w:rPr>
                <w:sz w:val="20"/>
                <w:szCs w:val="20"/>
                <w:lang w:val="en-US"/>
              </w:rPr>
              <w:t>ot exceed about 425 V/m rms. Therefore, I propose to change the E-field RL function below 20 MHz from 560/f  to 125/ f</w:t>
            </w:r>
            <w:r>
              <w:rPr>
                <w:sz w:val="20"/>
                <w:szCs w:val="20"/>
                <w:vertAlign w:val="superscript"/>
                <w:lang w:val="en-US"/>
              </w:rPr>
              <w:t>1/2</w:t>
            </w:r>
            <w:r>
              <w:rPr>
                <w:sz w:val="20"/>
                <w:szCs w:val="20"/>
                <w:lang w:val="en-US"/>
              </w:rPr>
              <w:t xml:space="preserve"> , i.e. 125/sqrt(f). This function gives the following values at 100 kHz, 1 MHz and 20 MHz, respectively: 395 V/m, 125 V/m and 28 V/m. </w:t>
            </w:r>
            <w:r>
              <w:rPr>
                <w:sz w:val="20"/>
                <w:szCs w:val="20"/>
                <w:lang w:val="en-US"/>
              </w:rPr>
              <w:t>Therefore, the target of not exceeding</w:t>
            </w:r>
            <w:r>
              <w:rPr>
                <w:sz w:val="20"/>
                <w:szCs w:val="20"/>
                <w:lang w:val="en-US"/>
              </w:rPr>
              <w:t xml:space="preserve"> 425 V/m is well accomplished and the value at 20 MHz remains unchanged (28 V/m).</w:t>
            </w:r>
          </w:p>
          <w:p w:rsidR="00000000" w:rsidRDefault="00651B3C">
            <w:pPr>
              <w:rPr>
                <w:rFonts w:ascii="Times New Roman" w:hAnsi="Times New Roman" w:cs="Times New Roman"/>
                <w:lang w:val="en-US"/>
              </w:rPr>
            </w:pPr>
            <w:r>
              <w:rPr>
                <w:rStyle w:val="Platzhaltertext"/>
                <w:color w:val="000000"/>
                <w:sz w:val="20"/>
                <w:szCs w:val="20"/>
                <w:lang w:val="en-US"/>
              </w:rPr>
              <w:t>The reasons for the proposed change are similar to the ones presented for occupational exposure. Large RL values for the E-field below 1</w:t>
            </w:r>
            <w:r>
              <w:rPr>
                <w:rStyle w:val="Platzhaltertext"/>
                <w:color w:val="000000"/>
                <w:sz w:val="20"/>
                <w:szCs w:val="20"/>
                <w:lang w:val="en-US"/>
              </w:rPr>
              <w:t xml:space="preserve"> MHz do not fit to the RL values and philosophy of the low-frequency ICNIRP guidelines from 2010. Considering the additional reduction factor of 2 for the general public, we may conclude that thermal RL for E-field in the 100 kHz - 10 MHz frequency band sh</w:t>
            </w:r>
            <w:r>
              <w:rPr>
                <w:rStyle w:val="Platzhaltertext"/>
                <w:color w:val="000000"/>
                <w:sz w:val="20"/>
                <w:szCs w:val="20"/>
                <w:lang w:val="en-US"/>
              </w:rPr>
              <w:t>ould not exceed 425 V/m</w:t>
            </w:r>
            <w:r>
              <w:rPr>
                <w:rStyle w:val="Platzhaltertext"/>
                <w:sz w:val="20"/>
                <w:szCs w:val="20"/>
                <w:lang w:val="en-US"/>
              </w:rPr>
              <w:t>.</w:t>
            </w:r>
          </w:p>
        </w:tc>
      </w:tr>
      <w:tr w:rsidR="00000000">
        <w:trPr>
          <w:trHeight w:val="907"/>
        </w:trPr>
        <w:tc>
          <w:tcPr>
            <w:tcW w:w="846" w:type="dxa"/>
          </w:tcPr>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lastRenderedPageBreak/>
              <w:t>5</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Guidelines</w:t>
            </w:r>
          </w:p>
        </w:tc>
        <w:tc>
          <w:tcPr>
            <w:tcW w:w="992" w:type="dxa"/>
          </w:tcPr>
          <w:p w:rsidR="00000000" w:rsidRDefault="00651B3C">
            <w:pPr>
              <w:keepLines/>
              <w:spacing w:before="40" w:after="40" w:line="240" w:lineRule="auto"/>
              <w:rPr>
                <w:rFonts w:cs="Times New Roman"/>
                <w:sz w:val="20"/>
                <w:szCs w:val="20"/>
                <w:lang w:val="de-DE"/>
              </w:rPr>
            </w:pPr>
            <w:r>
              <w:rPr>
                <w:rStyle w:val="Zeilen"/>
                <w:lang w:val="en-US"/>
              </w:rPr>
              <w:t>688</w:t>
            </w:r>
          </w:p>
        </w:tc>
        <w:tc>
          <w:tcPr>
            <w:tcW w:w="1158" w:type="dxa"/>
          </w:tcPr>
          <w:p w:rsidR="00000000" w:rsidRDefault="00651B3C">
            <w:pPr>
              <w:keepLines/>
              <w:spacing w:before="40" w:after="40" w:line="240" w:lineRule="auto"/>
              <w:rPr>
                <w:rFonts w:cs="Times New Roman"/>
                <w:sz w:val="20"/>
                <w:szCs w:val="20"/>
                <w:lang w:val="en-US"/>
              </w:rPr>
            </w:pPr>
            <w:r>
              <w:rPr>
                <w:color w:val="000000"/>
              </w:rPr>
              <w:t>Editorial</w:t>
            </w:r>
          </w:p>
        </w:tc>
        <w:tc>
          <w:tcPr>
            <w:tcW w:w="10915" w:type="dxa"/>
          </w:tcPr>
          <w:p w:rsidR="00000000" w:rsidRDefault="00651B3C">
            <w:pPr>
              <w:keepLines/>
              <w:spacing w:after="60" w:line="240" w:lineRule="auto"/>
              <w:rPr>
                <w:rFonts w:cs="Times New Roman"/>
                <w:sz w:val="20"/>
                <w:szCs w:val="20"/>
                <w:lang w:val="en-US"/>
              </w:rPr>
            </w:pPr>
            <w:r>
              <w:rPr>
                <w:sz w:val="20"/>
                <w:szCs w:val="20"/>
                <w:lang w:val="en-US"/>
              </w:rPr>
              <w:t>The mention “… reference levels; only one is required” needs some clarification</w:t>
            </w:r>
            <w:r>
              <w:rPr>
                <w:lang w:val="en-US"/>
              </w:rPr>
              <w:t>.</w:t>
            </w:r>
          </w:p>
          <w:p w:rsidR="00000000" w:rsidRDefault="00651B3C">
            <w:pPr>
              <w:pStyle w:val="Default"/>
              <w:spacing w:after="60"/>
              <w:rPr>
                <w:rFonts w:ascii="Times New Roman" w:hAnsi="Times New Roman" w:cs="Times New Roman"/>
                <w:lang w:val="en-US"/>
              </w:rPr>
            </w:pPr>
            <w:r>
              <w:rPr>
                <w:rStyle w:val="Platzhaltertext"/>
                <w:rFonts w:ascii="Calibri" w:hAnsi="Calibri"/>
                <w:color w:val="000000"/>
                <w:sz w:val="20"/>
                <w:szCs w:val="20"/>
                <w:lang w:val="en-US"/>
              </w:rPr>
              <w:t xml:space="preserve">Proposed text: “… reference levels; only one is required, </w:t>
            </w:r>
            <w:r>
              <w:rPr>
                <w:rStyle w:val="Platzhaltertext"/>
                <w:rFonts w:ascii="Calibri" w:hAnsi="Calibri"/>
                <w:b/>
                <w:bCs/>
                <w:color w:val="000000"/>
                <w:sz w:val="20"/>
                <w:szCs w:val="20"/>
                <w:lang w:val="en-US"/>
              </w:rPr>
              <w:t>except for near field conditions as specified below</w:t>
            </w:r>
            <w:r>
              <w:rPr>
                <w:rStyle w:val="Platzhaltertext"/>
                <w:rFonts w:ascii="Calibri" w:hAnsi="Calibri"/>
                <w:color w:val="000000"/>
                <w:sz w:val="20"/>
                <w:szCs w:val="20"/>
                <w:lang w:val="en-US"/>
              </w:rPr>
              <w:t>.”</w:t>
            </w:r>
          </w:p>
          <w:p w:rsidR="00000000" w:rsidRDefault="00651B3C">
            <w:pPr>
              <w:pStyle w:val="Default"/>
              <w:spacing w:after="60"/>
              <w:rPr>
                <w:rFonts w:ascii="Times New Roman" w:hAnsi="Times New Roman" w:cs="Times New Roman"/>
                <w:lang w:val="en-US"/>
              </w:rPr>
            </w:pPr>
            <w:r>
              <w:rPr>
                <w:rStyle w:val="Platzhaltertext"/>
                <w:rFonts w:ascii="Calibri" w:hAnsi="Calibri"/>
                <w:color w:val="000000"/>
                <w:sz w:val="20"/>
                <w:szCs w:val="20"/>
                <w:lang w:val="en-US"/>
              </w:rPr>
              <w:t>Working wi</w:t>
            </w:r>
            <w:r>
              <w:rPr>
                <w:rStyle w:val="Platzhaltertext"/>
                <w:rFonts w:ascii="Calibri" w:hAnsi="Calibri"/>
                <w:color w:val="000000"/>
                <w:sz w:val="20"/>
                <w:szCs w:val="20"/>
                <w:lang w:val="en-US"/>
              </w:rPr>
              <w:t>th various partners like practitioners in the domains of EMF measurement, occupational health and safety, as well as risk management showed the need of clear and complete mentions in a note in order to help good practice.</w:t>
            </w:r>
          </w:p>
        </w:tc>
      </w:tr>
      <w:tr w:rsidR="00000000">
        <w:trPr>
          <w:trHeight w:val="907"/>
        </w:trPr>
        <w:tc>
          <w:tcPr>
            <w:tcW w:w="846" w:type="dxa"/>
          </w:tcPr>
          <w:p w:rsidR="00000000" w:rsidRDefault="00651B3C">
            <w:pPr>
              <w:keepLines/>
              <w:spacing w:before="40" w:after="40" w:line="240" w:lineRule="auto"/>
              <w:jc w:val="center"/>
              <w:rPr>
                <w:rFonts w:cs="Times New Roman"/>
                <w:b/>
                <w:sz w:val="20"/>
                <w:szCs w:val="20"/>
                <w:lang w:val="en-GB"/>
              </w:rPr>
            </w:pPr>
            <w:r>
              <w:rPr>
                <w:rFonts w:cs="Times New Roman"/>
                <w:b/>
                <w:sz w:val="20"/>
                <w:szCs w:val="20"/>
                <w:lang w:val="en-GB"/>
              </w:rPr>
              <w:t>6</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Guidelines</w:t>
            </w:r>
          </w:p>
        </w:tc>
        <w:tc>
          <w:tcPr>
            <w:tcW w:w="992" w:type="dxa"/>
          </w:tcPr>
          <w:p w:rsidR="00000000" w:rsidRDefault="00651B3C">
            <w:pPr>
              <w:keepLines/>
              <w:spacing w:before="40" w:after="40" w:line="240" w:lineRule="auto"/>
              <w:rPr>
                <w:rFonts w:cs="Times New Roman"/>
                <w:sz w:val="20"/>
                <w:szCs w:val="20"/>
                <w:lang w:val="de-DE"/>
              </w:rPr>
            </w:pPr>
            <w:r>
              <w:rPr>
                <w:rStyle w:val="Platzhaltertext"/>
                <w:color w:val="000000"/>
                <w:sz w:val="20"/>
                <w:szCs w:val="20"/>
              </w:rPr>
              <w:t>694 - 695</w:t>
            </w:r>
          </w:p>
        </w:tc>
        <w:tc>
          <w:tcPr>
            <w:tcW w:w="1158" w:type="dxa"/>
          </w:tcPr>
          <w:p w:rsidR="00000000" w:rsidRDefault="00651B3C">
            <w:pPr>
              <w:keepLines/>
              <w:spacing w:before="40" w:after="40" w:line="240" w:lineRule="auto"/>
              <w:rPr>
                <w:rFonts w:cs="Times New Roman"/>
                <w:sz w:val="20"/>
                <w:szCs w:val="20"/>
                <w:lang w:val="en-US"/>
              </w:rPr>
            </w:pPr>
            <w:r>
              <w:rPr>
                <w:color w:val="000000"/>
              </w:rPr>
              <w:t>Editorial</w:t>
            </w:r>
          </w:p>
        </w:tc>
        <w:tc>
          <w:tcPr>
            <w:tcW w:w="10915" w:type="dxa"/>
          </w:tcPr>
          <w:p w:rsidR="00000000" w:rsidRDefault="00651B3C">
            <w:pPr>
              <w:keepLines/>
              <w:spacing w:after="60" w:line="240" w:lineRule="auto"/>
              <w:rPr>
                <w:rFonts w:cs="Times New Roman"/>
                <w:sz w:val="20"/>
                <w:szCs w:val="20"/>
                <w:lang w:val="en-US"/>
              </w:rPr>
            </w:pPr>
            <w:r>
              <w:rPr>
                <w:rStyle w:val="Platzhaltertext"/>
                <w:color w:val="000000"/>
                <w:sz w:val="20"/>
                <w:szCs w:val="20"/>
                <w:lang w:val="en-US"/>
              </w:rPr>
              <w:t>The mention “…; no reference level is provided for reactive near-field exposure conditions” needs a little clarification</w:t>
            </w:r>
            <w:r>
              <w:rPr>
                <w:rStyle w:val="Platzhaltertext"/>
                <w:sz w:val="20"/>
                <w:szCs w:val="20"/>
                <w:lang w:val="en-US"/>
              </w:rPr>
              <w:t>.</w:t>
            </w:r>
          </w:p>
          <w:p w:rsidR="00000000" w:rsidRDefault="00651B3C">
            <w:pPr>
              <w:pStyle w:val="Default"/>
              <w:spacing w:after="60"/>
              <w:rPr>
                <w:rFonts w:ascii="Times New Roman" w:hAnsi="Times New Roman" w:cs="Times New Roman"/>
                <w:lang w:val="en-US"/>
              </w:rPr>
            </w:pPr>
            <w:r>
              <w:rPr>
                <w:rStyle w:val="Platzhaltertext"/>
                <w:rFonts w:ascii="Calibri" w:hAnsi="Calibri"/>
                <w:color w:val="000000"/>
                <w:sz w:val="20"/>
                <w:szCs w:val="20"/>
                <w:lang w:val="en-US"/>
              </w:rPr>
              <w:t xml:space="preserve">Proposed text: “…; no reference level is provided for reactive near-field exposure conditions, </w:t>
            </w:r>
            <w:r>
              <w:rPr>
                <w:rStyle w:val="Platzhaltertext"/>
                <w:rFonts w:ascii="Calibri" w:hAnsi="Calibri"/>
                <w:b/>
                <w:bCs/>
                <w:color w:val="000000"/>
                <w:sz w:val="20"/>
                <w:szCs w:val="20"/>
                <w:lang w:val="en-US"/>
              </w:rPr>
              <w:t>where compliance with basic restriction</w:t>
            </w:r>
            <w:r>
              <w:rPr>
                <w:rStyle w:val="Platzhaltertext"/>
                <w:rFonts w:ascii="Calibri" w:hAnsi="Calibri"/>
                <w:b/>
                <w:bCs/>
                <w:color w:val="000000"/>
                <w:sz w:val="20"/>
                <w:szCs w:val="20"/>
                <w:lang w:val="en-US"/>
              </w:rPr>
              <w:t>s needs to be assessed</w:t>
            </w:r>
            <w:r>
              <w:rPr>
                <w:rStyle w:val="Platzhaltertext"/>
                <w:rFonts w:ascii="Calibri" w:hAnsi="Calibri"/>
                <w:color w:val="000000"/>
                <w:sz w:val="20"/>
                <w:szCs w:val="20"/>
                <w:lang w:val="en-US"/>
              </w:rPr>
              <w:t>.”</w:t>
            </w:r>
          </w:p>
          <w:p w:rsidR="00000000" w:rsidRDefault="00651B3C">
            <w:pPr>
              <w:pStyle w:val="Default"/>
              <w:spacing w:after="60"/>
              <w:rPr>
                <w:rFonts w:ascii="Times New Roman" w:hAnsi="Times New Roman" w:cs="Times New Roman"/>
                <w:lang w:val="en-US"/>
              </w:rPr>
            </w:pPr>
            <w:r>
              <w:rPr>
                <w:rStyle w:val="Platzhaltertext"/>
                <w:rFonts w:ascii="Calibri" w:hAnsi="Calibri"/>
                <w:color w:val="000000"/>
                <w:sz w:val="20"/>
                <w:szCs w:val="20"/>
                <w:lang w:val="en-US"/>
              </w:rPr>
              <w:t>Experience with practitioners in the domains of EMF measurement, occupational health and safety, as well as risk management showed that clearly mentioning the steps to be done helps good practice.</w:t>
            </w:r>
          </w:p>
        </w:tc>
      </w:tr>
      <w:tr w:rsidR="00000000">
        <w:trPr>
          <w:trHeight w:val="750"/>
        </w:trPr>
        <w:tc>
          <w:tcPr>
            <w:tcW w:w="846" w:type="dxa"/>
          </w:tcPr>
          <w:p w:rsidR="00000000" w:rsidRDefault="00651B3C">
            <w:pPr>
              <w:keepLines/>
              <w:spacing w:before="40" w:after="40" w:line="240" w:lineRule="auto"/>
              <w:jc w:val="center"/>
              <w:rPr>
                <w:rFonts w:cs="Times New Roman"/>
                <w:b/>
                <w:sz w:val="16"/>
                <w:szCs w:val="16"/>
                <w:lang w:val="en-GB"/>
              </w:rPr>
            </w:pPr>
            <w:r>
              <w:rPr>
                <w:rFonts w:cs="Times New Roman"/>
                <w:b/>
                <w:sz w:val="16"/>
                <w:szCs w:val="16"/>
                <w:lang w:val="en-US"/>
              </w:rPr>
              <w:t>7</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Guidelines</w:t>
            </w:r>
          </w:p>
        </w:tc>
        <w:tc>
          <w:tcPr>
            <w:tcW w:w="992" w:type="dxa"/>
          </w:tcPr>
          <w:p w:rsidR="00000000" w:rsidRDefault="00651B3C">
            <w:pPr>
              <w:keepLines/>
              <w:spacing w:before="40" w:after="40" w:line="240" w:lineRule="auto"/>
              <w:rPr>
                <w:rFonts w:cs="Times New Roman"/>
                <w:sz w:val="20"/>
                <w:szCs w:val="20"/>
                <w:lang w:val="de-DE"/>
              </w:rPr>
            </w:pPr>
            <w:r>
              <w:rPr>
                <w:rStyle w:val="Platzhaltertext"/>
                <w:color w:val="000000"/>
              </w:rPr>
              <w:t>Table 5</w:t>
            </w:r>
          </w:p>
        </w:tc>
        <w:tc>
          <w:tcPr>
            <w:tcW w:w="1158" w:type="dxa"/>
          </w:tcPr>
          <w:p w:rsidR="00000000" w:rsidRDefault="00651B3C">
            <w:pPr>
              <w:keepLines/>
              <w:spacing w:before="40" w:after="40" w:line="240" w:lineRule="auto"/>
              <w:rPr>
                <w:rFonts w:cs="Times New Roman"/>
                <w:sz w:val="20"/>
                <w:szCs w:val="20"/>
                <w:lang w:val="en-US"/>
              </w:rPr>
            </w:pPr>
            <w:r>
              <w:rPr>
                <w:color w:val="000000"/>
              </w:rPr>
              <w:t>Technical</w:t>
            </w:r>
          </w:p>
        </w:tc>
        <w:tc>
          <w:tcPr>
            <w:tcW w:w="10915" w:type="dxa"/>
          </w:tcPr>
          <w:p w:rsidR="00000000" w:rsidRDefault="00651B3C">
            <w:pPr>
              <w:keepLines/>
              <w:spacing w:after="60" w:line="240" w:lineRule="auto"/>
              <w:rPr>
                <w:rFonts w:cs="Times New Roman"/>
                <w:sz w:val="20"/>
                <w:szCs w:val="20"/>
                <w:lang w:val="en-US"/>
              </w:rPr>
            </w:pPr>
            <w:r>
              <w:rPr>
                <w:rStyle w:val="Platzhaltertext"/>
                <w:color w:val="000000"/>
                <w:sz w:val="20"/>
                <w:szCs w:val="20"/>
                <w:lang w:val="en-US"/>
              </w:rPr>
              <w:t>No</w:t>
            </w:r>
            <w:r>
              <w:rPr>
                <w:rStyle w:val="Platzhaltertext"/>
                <w:color w:val="000000"/>
                <w:sz w:val="20"/>
                <w:szCs w:val="20"/>
                <w:lang w:val="en-US"/>
              </w:rPr>
              <w:t>t clear why in Table 6 that specifies RL only for incident power density, the first frequency range starts with 100 kHz. The note 2 for that row redirects to Table 4 where incident power density got values only for frequencies higher than 30 MHz</w:t>
            </w:r>
            <w:r>
              <w:rPr>
                <w:rStyle w:val="Platzhaltertext"/>
                <w:sz w:val="20"/>
                <w:szCs w:val="20"/>
                <w:lang w:val="en-US"/>
              </w:rPr>
              <w:t>.</w:t>
            </w:r>
          </w:p>
          <w:p w:rsidR="00000000" w:rsidRDefault="00651B3C">
            <w:pPr>
              <w:pStyle w:val="Default"/>
              <w:spacing w:after="60"/>
              <w:rPr>
                <w:rFonts w:ascii="Times New Roman" w:hAnsi="Times New Roman" w:cs="Times New Roman"/>
                <w:lang w:val="en-US"/>
              </w:rPr>
            </w:pPr>
            <w:r>
              <w:rPr>
                <w:rStyle w:val="Platzhaltertext"/>
                <w:rFonts w:ascii="Calibri" w:hAnsi="Calibri"/>
                <w:color w:val="000000"/>
                <w:sz w:val="20"/>
                <w:szCs w:val="20"/>
                <w:lang w:val="en-US"/>
              </w:rPr>
              <w:t>The first</w:t>
            </w:r>
            <w:r>
              <w:rPr>
                <w:rStyle w:val="Platzhaltertext"/>
                <w:rFonts w:ascii="Calibri" w:hAnsi="Calibri"/>
                <w:color w:val="000000"/>
                <w:sz w:val="20"/>
                <w:szCs w:val="20"/>
                <w:lang w:val="en-US"/>
              </w:rPr>
              <w:t xml:space="preserve"> frequency range should be changed from 100 kHz - 400 MHz to 30 - 400 MHz. Alternatively, if besides the RL for incident power density, the use of the RL for E-field and H-field from Table 4 is intended, this should be clearly mentioned in note 2</w:t>
            </w:r>
            <w:r>
              <w:rPr>
                <w:rStyle w:val="Platzhaltertext"/>
                <w:rFonts w:ascii="Calibri" w:hAnsi="Calibri"/>
                <w:sz w:val="20"/>
                <w:szCs w:val="20"/>
                <w:lang w:val="en-US"/>
              </w:rPr>
              <w:t xml:space="preserve">. </w:t>
            </w:r>
          </w:p>
          <w:p w:rsidR="00000000" w:rsidRDefault="00651B3C">
            <w:pPr>
              <w:pStyle w:val="Default"/>
              <w:spacing w:after="60"/>
              <w:rPr>
                <w:rFonts w:ascii="Times New Roman" w:hAnsi="Times New Roman" w:cs="Times New Roman"/>
                <w:lang w:val="en-US"/>
              </w:rPr>
            </w:pPr>
            <w:r>
              <w:rPr>
                <w:rStyle w:val="Platzhaltertext"/>
                <w:rFonts w:ascii="Calibri" w:hAnsi="Calibri"/>
                <w:color w:val="000000"/>
                <w:sz w:val="20"/>
                <w:szCs w:val="20"/>
                <w:lang w:val="en-US"/>
              </w:rPr>
              <w:t>The pro</w:t>
            </w:r>
            <w:r>
              <w:rPr>
                <w:rStyle w:val="Platzhaltertext"/>
                <w:rFonts w:ascii="Calibri" w:hAnsi="Calibri"/>
                <w:color w:val="000000"/>
                <w:sz w:val="20"/>
                <w:szCs w:val="20"/>
                <w:lang w:val="en-US"/>
              </w:rPr>
              <w:t>posed change is meant to make the Table 5 clearer to reader and to avoid confusions</w:t>
            </w:r>
            <w:r>
              <w:rPr>
                <w:rStyle w:val="Platzhaltertext"/>
                <w:rFonts w:ascii="Calibri" w:hAnsi="Calibri"/>
                <w:sz w:val="20"/>
                <w:szCs w:val="20"/>
                <w:lang w:val="en-US"/>
              </w:rPr>
              <w:t>.</w:t>
            </w:r>
          </w:p>
        </w:tc>
      </w:tr>
      <w:tr w:rsidR="00000000">
        <w:trPr>
          <w:trHeight w:val="750"/>
        </w:trPr>
        <w:tc>
          <w:tcPr>
            <w:tcW w:w="846" w:type="dxa"/>
          </w:tcPr>
          <w:p w:rsidR="00000000" w:rsidRDefault="00651B3C">
            <w:pPr>
              <w:keepLines/>
              <w:spacing w:before="40" w:after="40" w:line="240" w:lineRule="auto"/>
              <w:jc w:val="center"/>
              <w:rPr>
                <w:rFonts w:cs="Times New Roman"/>
                <w:b/>
                <w:sz w:val="16"/>
                <w:szCs w:val="16"/>
                <w:lang w:val="en-GB"/>
              </w:rPr>
            </w:pPr>
            <w:r>
              <w:rPr>
                <w:rFonts w:cs="Times New Roman"/>
                <w:b/>
                <w:sz w:val="20"/>
                <w:szCs w:val="20"/>
                <w:lang w:val="en-US"/>
              </w:rPr>
              <w:t>8</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Guidelines</w:t>
            </w:r>
          </w:p>
        </w:tc>
        <w:tc>
          <w:tcPr>
            <w:tcW w:w="992" w:type="dxa"/>
          </w:tcPr>
          <w:p w:rsidR="00000000" w:rsidRDefault="00651B3C">
            <w:pPr>
              <w:keepLines/>
              <w:spacing w:before="40" w:after="40" w:line="240" w:lineRule="auto"/>
              <w:rPr>
                <w:rFonts w:cs="Times New Roman"/>
                <w:sz w:val="20"/>
                <w:szCs w:val="20"/>
                <w:lang w:val="de-DE"/>
              </w:rPr>
            </w:pPr>
            <w:r>
              <w:rPr>
                <w:rStyle w:val="Zeilen"/>
                <w:lang w:val="en-US"/>
              </w:rPr>
              <w:t>Table 5</w:t>
            </w:r>
          </w:p>
        </w:tc>
        <w:tc>
          <w:tcPr>
            <w:tcW w:w="1158" w:type="dxa"/>
          </w:tcPr>
          <w:p w:rsidR="00000000" w:rsidRDefault="00651B3C">
            <w:pPr>
              <w:keepLines/>
              <w:spacing w:before="40" w:after="40" w:line="240" w:lineRule="auto"/>
              <w:rPr>
                <w:rFonts w:cs="Times New Roman"/>
                <w:sz w:val="20"/>
                <w:szCs w:val="20"/>
                <w:lang w:val="en-US"/>
              </w:rPr>
            </w:pPr>
            <w:r>
              <w:rPr>
                <w:color w:val="000000"/>
              </w:rPr>
              <w:t>Technical</w:t>
            </w:r>
          </w:p>
        </w:tc>
        <w:tc>
          <w:tcPr>
            <w:tcW w:w="10915" w:type="dxa"/>
          </w:tcPr>
          <w:p w:rsidR="00000000" w:rsidRDefault="00651B3C">
            <w:pPr>
              <w:keepLines/>
              <w:spacing w:after="60" w:line="240" w:lineRule="auto"/>
              <w:rPr>
                <w:rFonts w:cs="Times New Roman"/>
                <w:sz w:val="20"/>
                <w:szCs w:val="20"/>
                <w:lang w:val="en-US"/>
              </w:rPr>
            </w:pPr>
            <w:r>
              <w:rPr>
                <w:rStyle w:val="Platzhaltertext"/>
                <w:color w:val="000000"/>
                <w:sz w:val="20"/>
                <w:szCs w:val="20"/>
                <w:lang w:val="en-US"/>
              </w:rPr>
              <w:t xml:space="preserve">For frequencies between 400 MHz - 6 GHz, note 3 of Table 5 directs to Table 6 where RL are specified only for incident energy density. But </w:t>
            </w:r>
            <w:r>
              <w:rPr>
                <w:rStyle w:val="Platzhaltertext"/>
                <w:color w:val="000000"/>
                <w:sz w:val="20"/>
                <w:szCs w:val="20"/>
                <w:lang w:val="en-US"/>
              </w:rPr>
              <w:t>the header of Table 5 specifies RL only for incident power density and not for incident energy density.</w:t>
            </w:r>
          </w:p>
          <w:p w:rsidR="00000000" w:rsidRDefault="00651B3C">
            <w:pPr>
              <w:pStyle w:val="Default"/>
              <w:spacing w:after="60"/>
              <w:rPr>
                <w:rFonts w:ascii="Times New Roman" w:hAnsi="Times New Roman" w:cs="Times New Roman"/>
                <w:lang w:val="en-US"/>
              </w:rPr>
            </w:pPr>
            <w:r>
              <w:rPr>
                <w:rStyle w:val="Platzhaltertext"/>
                <w:rFonts w:ascii="Calibri" w:hAnsi="Calibri"/>
                <w:color w:val="000000"/>
                <w:sz w:val="20"/>
                <w:szCs w:val="20"/>
                <w:lang w:val="en-US"/>
              </w:rPr>
              <w:t>To meet the values of 10 W/m</w:t>
            </w:r>
            <w:r>
              <w:rPr>
                <w:rStyle w:val="Platzhaltertext"/>
                <w:rFonts w:ascii="Calibri" w:hAnsi="Calibri"/>
                <w:color w:val="000000"/>
                <w:sz w:val="20"/>
                <w:szCs w:val="20"/>
                <w:vertAlign w:val="superscript"/>
                <w:lang w:val="en-US"/>
              </w:rPr>
              <w:t>2</w:t>
            </w:r>
            <w:r>
              <w:rPr>
                <w:rStyle w:val="Platzhaltertext"/>
                <w:rFonts w:ascii="Calibri" w:hAnsi="Calibri"/>
                <w:color w:val="000000"/>
                <w:sz w:val="20"/>
                <w:szCs w:val="20"/>
                <w:lang w:val="en-US"/>
              </w:rPr>
              <w:t xml:space="preserve"> at 400 MHz and 200 W/m</w:t>
            </w:r>
            <w:r>
              <w:rPr>
                <w:rStyle w:val="Platzhaltertext"/>
                <w:rFonts w:ascii="Calibri" w:hAnsi="Calibri"/>
                <w:color w:val="000000"/>
                <w:sz w:val="20"/>
                <w:szCs w:val="20"/>
                <w:vertAlign w:val="superscript"/>
                <w:lang w:val="en-US"/>
              </w:rPr>
              <w:t>2</w:t>
            </w:r>
            <w:r>
              <w:rPr>
                <w:rStyle w:val="Platzhaltertext"/>
                <w:rFonts w:ascii="Calibri" w:hAnsi="Calibri"/>
                <w:color w:val="000000"/>
                <w:sz w:val="20"/>
                <w:szCs w:val="20"/>
                <w:lang w:val="en-US"/>
              </w:rPr>
              <w:t xml:space="preserve"> at 6 GHz, I propose the following function to specify RL for incident power density between 400 MH</w:t>
            </w:r>
            <w:r>
              <w:rPr>
                <w:rStyle w:val="Platzhaltertext"/>
                <w:rFonts w:ascii="Calibri" w:hAnsi="Calibri"/>
                <w:color w:val="000000"/>
                <w:sz w:val="20"/>
                <w:szCs w:val="20"/>
                <w:lang w:val="en-US"/>
              </w:rPr>
              <w:t>z - 6 GHz: 27.5f</w:t>
            </w:r>
            <w:r>
              <w:rPr>
                <w:rStyle w:val="Platzhaltertext"/>
                <w:rFonts w:ascii="Calibri" w:hAnsi="Calibri"/>
                <w:color w:val="000000"/>
                <w:sz w:val="20"/>
                <w:szCs w:val="20"/>
                <w:vertAlign w:val="superscript"/>
                <w:lang w:val="en-US"/>
              </w:rPr>
              <w:t>1.1</w:t>
            </w:r>
            <w:r>
              <w:rPr>
                <w:rStyle w:val="Platzhaltertext"/>
                <w:rFonts w:ascii="Calibri" w:hAnsi="Calibri"/>
                <w:color w:val="000000"/>
                <w:sz w:val="20"/>
                <w:szCs w:val="20"/>
                <w:lang w:val="en-US"/>
              </w:rPr>
              <w:t xml:space="preserve"> , i.e.  27.5*f^1.1</w:t>
            </w:r>
          </w:p>
          <w:p w:rsidR="00000000" w:rsidRDefault="00651B3C">
            <w:pPr>
              <w:pStyle w:val="Default"/>
              <w:spacing w:after="60"/>
              <w:rPr>
                <w:rFonts w:ascii="Times New Roman" w:hAnsi="Times New Roman" w:cs="Times New Roman"/>
                <w:lang w:val="en-US"/>
              </w:rPr>
            </w:pPr>
            <w:r>
              <w:rPr>
                <w:rFonts w:ascii="Calibri"/>
                <w:sz w:val="20"/>
                <w:szCs w:val="20"/>
                <w:lang w:val="en-US"/>
              </w:rPr>
              <w:t>To meet the values of 10 W/m</w:t>
            </w:r>
            <w:r>
              <w:rPr>
                <w:rFonts w:ascii="Calibri"/>
                <w:sz w:val="20"/>
                <w:szCs w:val="20"/>
                <w:vertAlign w:val="superscript"/>
                <w:lang w:val="en-US"/>
              </w:rPr>
              <w:t>2</w:t>
            </w:r>
            <w:r>
              <w:rPr>
                <w:rFonts w:ascii="Calibri"/>
                <w:sz w:val="20"/>
                <w:szCs w:val="20"/>
                <w:lang w:val="en-US"/>
              </w:rPr>
              <w:t xml:space="preserve"> at 400 MHz and 200 W/m</w:t>
            </w:r>
            <w:r>
              <w:rPr>
                <w:rFonts w:ascii="Calibri"/>
                <w:sz w:val="20"/>
                <w:szCs w:val="20"/>
                <w:vertAlign w:val="superscript"/>
                <w:lang w:val="en-US"/>
              </w:rPr>
              <w:t>2</w:t>
            </w:r>
            <w:r>
              <w:rPr>
                <w:rFonts w:ascii="Calibri"/>
                <w:sz w:val="20"/>
                <w:szCs w:val="20"/>
                <w:lang w:val="en-US"/>
              </w:rPr>
              <w:t xml:space="preserve"> at 6 GHz, I propose the following function to specify RL for incident power density between 400 MHz - 6 GHz: 27.5f</w:t>
            </w:r>
            <w:r>
              <w:rPr>
                <w:rFonts w:ascii="Calibri"/>
                <w:sz w:val="20"/>
                <w:szCs w:val="20"/>
                <w:vertAlign w:val="superscript"/>
                <w:lang w:val="en-US"/>
              </w:rPr>
              <w:t>1.1</w:t>
            </w:r>
            <w:r>
              <w:rPr>
                <w:rFonts w:ascii="Calibri"/>
                <w:sz w:val="20"/>
                <w:szCs w:val="20"/>
                <w:lang w:val="en-US"/>
              </w:rPr>
              <w:t xml:space="preserve"> , i.e.  27.5*f^1.1 in the case of occupationa</w:t>
            </w:r>
            <w:r>
              <w:rPr>
                <w:rFonts w:ascii="Calibri"/>
                <w:sz w:val="20"/>
                <w:szCs w:val="20"/>
                <w:lang w:val="en-US"/>
              </w:rPr>
              <w:t>l exposure. For the general public, proposed function is 5.5f</w:t>
            </w:r>
            <w:r>
              <w:rPr>
                <w:rFonts w:ascii="Calibri"/>
                <w:sz w:val="20"/>
                <w:szCs w:val="20"/>
                <w:vertAlign w:val="superscript"/>
                <w:lang w:val="en-US"/>
              </w:rPr>
              <w:t>1.1</w:t>
            </w:r>
            <w:r>
              <w:rPr>
                <w:rFonts w:ascii="Calibri"/>
                <w:sz w:val="20"/>
                <w:szCs w:val="20"/>
                <w:lang w:val="en-US"/>
              </w:rPr>
              <w:t xml:space="preserve"> , i.e. 5.5*f^1.1 that meets the values of 2 W/m</w:t>
            </w:r>
            <w:r>
              <w:rPr>
                <w:rFonts w:ascii="Calibri"/>
                <w:sz w:val="20"/>
                <w:szCs w:val="20"/>
                <w:vertAlign w:val="superscript"/>
                <w:lang w:val="en-US"/>
              </w:rPr>
              <w:t>2</w:t>
            </w:r>
            <w:r>
              <w:rPr>
                <w:rFonts w:ascii="Calibri"/>
                <w:sz w:val="20"/>
                <w:szCs w:val="20"/>
                <w:lang w:val="en-US"/>
              </w:rPr>
              <w:t xml:space="preserve"> at 400 MHz and 40 W/m</w:t>
            </w:r>
            <w:r>
              <w:rPr>
                <w:rFonts w:ascii="Calibri"/>
                <w:sz w:val="20"/>
                <w:szCs w:val="20"/>
                <w:vertAlign w:val="superscript"/>
                <w:lang w:val="en-US"/>
              </w:rPr>
              <w:t>2</w:t>
            </w:r>
            <w:r>
              <w:rPr>
                <w:rFonts w:ascii="Calibri"/>
                <w:sz w:val="20"/>
                <w:szCs w:val="20"/>
                <w:lang w:val="en-US"/>
              </w:rPr>
              <w:t xml:space="preserve"> at 6 GHz as required by RLs from adjacent frequency ranges.</w:t>
            </w:r>
          </w:p>
        </w:tc>
      </w:tr>
      <w:tr w:rsidR="00000000">
        <w:trPr>
          <w:trHeight w:val="750"/>
        </w:trPr>
        <w:tc>
          <w:tcPr>
            <w:tcW w:w="846" w:type="dxa"/>
          </w:tcPr>
          <w:p w:rsidR="00000000" w:rsidRDefault="00651B3C">
            <w:pPr>
              <w:keepLines/>
              <w:spacing w:before="40" w:after="40" w:line="240" w:lineRule="auto"/>
              <w:jc w:val="center"/>
              <w:rPr>
                <w:rFonts w:cs="Times New Roman"/>
                <w:b/>
                <w:sz w:val="16"/>
                <w:szCs w:val="16"/>
                <w:lang w:val="en-GB"/>
              </w:rPr>
            </w:pPr>
            <w:r>
              <w:rPr>
                <w:rFonts w:cs="Times New Roman"/>
                <w:b/>
                <w:sz w:val="20"/>
                <w:szCs w:val="20"/>
                <w:lang w:val="en-US"/>
              </w:rPr>
              <w:t>9</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Guidelines</w:t>
            </w:r>
          </w:p>
        </w:tc>
        <w:tc>
          <w:tcPr>
            <w:tcW w:w="992" w:type="dxa"/>
          </w:tcPr>
          <w:p w:rsidR="00000000" w:rsidRDefault="00651B3C">
            <w:pPr>
              <w:keepLines/>
              <w:spacing w:before="40" w:after="40" w:line="240" w:lineRule="auto"/>
              <w:jc w:val="center"/>
              <w:rPr>
                <w:rFonts w:cs="Times New Roman"/>
                <w:sz w:val="20"/>
                <w:szCs w:val="20"/>
                <w:lang w:val="de-DE"/>
              </w:rPr>
            </w:pPr>
            <w:r>
              <w:rPr>
                <w:rStyle w:val="Zeilen"/>
              </w:rPr>
              <w:t>709</w:t>
            </w:r>
          </w:p>
        </w:tc>
        <w:tc>
          <w:tcPr>
            <w:tcW w:w="1158" w:type="dxa"/>
          </w:tcPr>
          <w:p w:rsidR="00000000" w:rsidRDefault="00651B3C">
            <w:pPr>
              <w:keepLines/>
              <w:spacing w:before="40" w:after="40" w:line="240" w:lineRule="auto"/>
              <w:rPr>
                <w:rFonts w:cs="Times New Roman"/>
                <w:sz w:val="20"/>
                <w:szCs w:val="20"/>
                <w:lang w:val="en-US"/>
              </w:rPr>
            </w:pPr>
            <w:r>
              <w:rPr>
                <w:color w:val="808080"/>
              </w:rPr>
              <w:t>Editorial</w:t>
            </w:r>
          </w:p>
        </w:tc>
        <w:tc>
          <w:tcPr>
            <w:tcW w:w="10915" w:type="dxa"/>
          </w:tcPr>
          <w:p w:rsidR="00000000" w:rsidRDefault="00651B3C">
            <w:pPr>
              <w:keepLines/>
              <w:spacing w:after="60" w:line="240" w:lineRule="auto"/>
              <w:rPr>
                <w:rFonts w:cs="Times New Roman"/>
                <w:sz w:val="20"/>
                <w:szCs w:val="20"/>
                <w:lang w:val="en-US"/>
              </w:rPr>
            </w:pPr>
            <w:r>
              <w:rPr>
                <w:rFonts w:cs="Times New Roman"/>
                <w:sz w:val="20"/>
                <w:szCs w:val="20"/>
                <w:lang w:val="en-US"/>
              </w:rPr>
              <w:t xml:space="preserve">Current text: </w:t>
            </w:r>
            <w:r>
              <w:rPr>
                <w:rStyle w:val="Platzhaltertext"/>
                <w:color w:val="000000"/>
                <w:sz w:val="20"/>
                <w:szCs w:val="20"/>
                <w:lang w:val="en-US"/>
              </w:rPr>
              <w:t>66-30 GHz</w:t>
            </w:r>
          </w:p>
          <w:p w:rsidR="00000000" w:rsidRDefault="00651B3C">
            <w:pPr>
              <w:keepLines/>
              <w:spacing w:after="60" w:line="240" w:lineRule="auto"/>
              <w:rPr>
                <w:rFonts w:ascii="Times New Roman" w:hAnsi="Times New Roman" w:cs="Times New Roman"/>
                <w:lang w:val="en-US"/>
              </w:rPr>
            </w:pPr>
            <w:r>
              <w:rPr>
                <w:rStyle w:val="Platzhaltertext"/>
                <w:color w:val="000000"/>
                <w:sz w:val="20"/>
                <w:szCs w:val="20"/>
                <w:lang w:val="en-US"/>
              </w:rPr>
              <w:t>To chan</w:t>
            </w:r>
            <w:r>
              <w:rPr>
                <w:rStyle w:val="Platzhaltertext"/>
                <w:color w:val="000000"/>
                <w:sz w:val="20"/>
                <w:szCs w:val="20"/>
                <w:lang w:val="en-US"/>
              </w:rPr>
              <w:t>ge to : 6-30 GHz</w:t>
            </w:r>
          </w:p>
          <w:p w:rsidR="00000000" w:rsidRDefault="00651B3C">
            <w:pPr>
              <w:pStyle w:val="Default"/>
              <w:spacing w:after="60"/>
              <w:rPr>
                <w:rFonts w:ascii="Times New Roman" w:hAnsi="Times New Roman" w:cs="Times New Roman"/>
                <w:lang w:val="en-US"/>
              </w:rPr>
            </w:pPr>
            <w:r>
              <w:rPr>
                <w:rStyle w:val="Platzhaltertext"/>
                <w:rFonts w:ascii="Calibri"/>
                <w:color w:val="000000"/>
                <w:sz w:val="20"/>
                <w:szCs w:val="20"/>
                <w:lang w:val="en-US"/>
              </w:rPr>
              <w:t>Typing mistake</w:t>
            </w:r>
          </w:p>
        </w:tc>
      </w:tr>
      <w:tr w:rsidR="00000000">
        <w:trPr>
          <w:trHeight w:val="750"/>
        </w:trPr>
        <w:tc>
          <w:tcPr>
            <w:tcW w:w="846" w:type="dxa"/>
          </w:tcPr>
          <w:p w:rsidR="00000000" w:rsidRDefault="00651B3C">
            <w:pPr>
              <w:keepLines/>
              <w:spacing w:before="40" w:after="40" w:line="240" w:lineRule="auto"/>
              <w:jc w:val="center"/>
              <w:rPr>
                <w:rFonts w:cs="Times New Roman"/>
                <w:b/>
                <w:sz w:val="16"/>
                <w:szCs w:val="16"/>
                <w:lang w:val="en-GB"/>
              </w:rPr>
            </w:pPr>
            <w:r>
              <w:rPr>
                <w:rFonts w:cs="Times New Roman"/>
                <w:b/>
                <w:sz w:val="20"/>
                <w:szCs w:val="20"/>
                <w:lang w:val="en-US"/>
              </w:rPr>
              <w:t>10</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Guidelines</w:t>
            </w:r>
          </w:p>
        </w:tc>
        <w:tc>
          <w:tcPr>
            <w:tcW w:w="992" w:type="dxa"/>
          </w:tcPr>
          <w:p w:rsidR="00000000" w:rsidRDefault="00651B3C">
            <w:pPr>
              <w:keepLines/>
              <w:spacing w:before="40" w:after="40" w:line="240" w:lineRule="auto"/>
              <w:jc w:val="center"/>
              <w:rPr>
                <w:rFonts w:cs="Times New Roman"/>
                <w:sz w:val="20"/>
                <w:szCs w:val="20"/>
                <w:lang w:val="de-DE"/>
              </w:rPr>
            </w:pPr>
            <w:r>
              <w:rPr>
                <w:rStyle w:val="Zeilen"/>
              </w:rPr>
              <w:t>724</w:t>
            </w:r>
          </w:p>
        </w:tc>
        <w:tc>
          <w:tcPr>
            <w:tcW w:w="1158" w:type="dxa"/>
          </w:tcPr>
          <w:p w:rsidR="00000000" w:rsidRDefault="00651B3C">
            <w:pPr>
              <w:keepLines/>
              <w:spacing w:before="40" w:after="40" w:line="240" w:lineRule="auto"/>
              <w:rPr>
                <w:rFonts w:cs="Times New Roman"/>
                <w:sz w:val="20"/>
                <w:szCs w:val="20"/>
                <w:lang w:val="en-US"/>
              </w:rPr>
            </w:pPr>
            <w:r>
              <w:rPr>
                <w:color w:val="808080"/>
              </w:rPr>
              <w:t>Editorial</w:t>
            </w:r>
          </w:p>
        </w:tc>
        <w:tc>
          <w:tcPr>
            <w:tcW w:w="10915" w:type="dxa"/>
          </w:tcPr>
          <w:p w:rsidR="00000000" w:rsidRDefault="00651B3C">
            <w:pPr>
              <w:keepLines/>
              <w:spacing w:after="60" w:line="240" w:lineRule="auto"/>
              <w:rPr>
                <w:rFonts w:cs="Times New Roman"/>
                <w:sz w:val="20"/>
                <w:szCs w:val="20"/>
                <w:lang w:val="en-US"/>
              </w:rPr>
            </w:pPr>
            <w:r>
              <w:rPr>
                <w:rFonts w:cs="Times New Roman"/>
                <w:sz w:val="20"/>
                <w:szCs w:val="20"/>
                <w:lang w:val="en-US"/>
              </w:rPr>
              <w:t>Current text:</w:t>
            </w:r>
            <w:r>
              <w:rPr>
                <w:rFonts w:cs="Times New Roman"/>
                <w:sz w:val="20"/>
                <w:szCs w:val="20"/>
                <w:lang w:val="en-US"/>
              </w:rPr>
              <w:t xml:space="preserve"> “(the 6 minute average reference levels described in Table </w:t>
            </w:r>
            <w:r>
              <w:rPr>
                <w:rFonts w:cs="Times New Roman"/>
                <w:b/>
                <w:bCs/>
                <w:sz w:val="20"/>
                <w:szCs w:val="20"/>
                <w:lang w:val="en-US"/>
              </w:rPr>
              <w:t>5</w:t>
            </w:r>
            <w:r>
              <w:rPr>
                <w:rFonts w:cs="Times New Roman"/>
                <w:sz w:val="20"/>
                <w:szCs w:val="20"/>
                <w:lang w:val="en-US"/>
              </w:rPr>
              <w:t xml:space="preserve"> are to be used)”</w:t>
            </w:r>
          </w:p>
          <w:p w:rsidR="00000000" w:rsidRDefault="00651B3C">
            <w:pPr>
              <w:keepLines/>
              <w:spacing w:after="60" w:line="240" w:lineRule="auto"/>
              <w:rPr>
                <w:rFonts w:ascii="Times New Roman" w:hAnsi="Times New Roman" w:cs="Times New Roman"/>
                <w:lang w:val="en-US"/>
              </w:rPr>
            </w:pPr>
            <w:r>
              <w:rPr>
                <w:rStyle w:val="Platzhaltertext"/>
                <w:color w:val="000000"/>
                <w:sz w:val="20"/>
                <w:szCs w:val="20"/>
                <w:lang w:val="en-US"/>
              </w:rPr>
              <w:t xml:space="preserve"> </w:t>
            </w:r>
            <w:r>
              <w:rPr>
                <w:rFonts w:cs="Times New Roman"/>
                <w:sz w:val="20"/>
                <w:szCs w:val="20"/>
                <w:lang w:val="en-US"/>
              </w:rPr>
              <w:t xml:space="preserve">Question: Is it “Table </w:t>
            </w:r>
            <w:r>
              <w:rPr>
                <w:rFonts w:cs="Times New Roman"/>
                <w:b/>
                <w:bCs/>
                <w:sz w:val="20"/>
                <w:szCs w:val="20"/>
                <w:lang w:val="en-US"/>
              </w:rPr>
              <w:t>4”</w:t>
            </w:r>
            <w:r>
              <w:rPr>
                <w:rFonts w:cs="Times New Roman"/>
                <w:sz w:val="20"/>
                <w:szCs w:val="20"/>
                <w:lang w:val="en-US"/>
              </w:rPr>
              <w:t>, actually?</w:t>
            </w:r>
          </w:p>
          <w:p w:rsidR="00000000" w:rsidRDefault="00651B3C">
            <w:pPr>
              <w:pStyle w:val="Default"/>
              <w:spacing w:after="60"/>
              <w:rPr>
                <w:rFonts w:ascii="Times New Roman" w:hAnsi="Times New Roman" w:cs="Times New Roman"/>
                <w:lang w:val="en-US"/>
              </w:rPr>
            </w:pPr>
            <w:r>
              <w:rPr>
                <w:rFonts w:ascii="Calibri" w:hAnsi="Calibri" w:cs="Times New Roman"/>
                <w:sz w:val="20"/>
                <w:szCs w:val="20"/>
                <w:lang w:val="en-US"/>
              </w:rPr>
              <w:t>It seems that Table 4 describes the needed  RL.</w:t>
            </w:r>
          </w:p>
        </w:tc>
      </w:tr>
      <w:tr w:rsidR="00000000">
        <w:trPr>
          <w:trHeight w:val="750"/>
        </w:trPr>
        <w:tc>
          <w:tcPr>
            <w:tcW w:w="846" w:type="dxa"/>
          </w:tcPr>
          <w:p w:rsidR="00000000" w:rsidRDefault="00651B3C">
            <w:pPr>
              <w:keepLines/>
              <w:spacing w:before="40" w:after="40" w:line="240" w:lineRule="auto"/>
              <w:jc w:val="center"/>
              <w:rPr>
                <w:rFonts w:cs="Times New Roman"/>
                <w:b/>
                <w:sz w:val="16"/>
                <w:szCs w:val="16"/>
                <w:lang w:val="en-GB"/>
              </w:rPr>
            </w:pPr>
            <w:r>
              <w:rPr>
                <w:rFonts w:cs="Times New Roman"/>
                <w:b/>
                <w:sz w:val="20"/>
                <w:szCs w:val="20"/>
                <w:lang w:val="en-US"/>
              </w:rPr>
              <w:t>11</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Appendix A</w:t>
            </w:r>
          </w:p>
        </w:tc>
        <w:tc>
          <w:tcPr>
            <w:tcW w:w="992" w:type="dxa"/>
          </w:tcPr>
          <w:p w:rsidR="00000000" w:rsidRDefault="00651B3C">
            <w:pPr>
              <w:keepLines/>
              <w:spacing w:before="40" w:after="40" w:line="240" w:lineRule="auto"/>
              <w:jc w:val="center"/>
              <w:rPr>
                <w:rFonts w:cs="Times New Roman"/>
                <w:sz w:val="20"/>
                <w:szCs w:val="20"/>
                <w:lang w:val="de-DE"/>
              </w:rPr>
            </w:pPr>
            <w:r>
              <w:rPr>
                <w:rStyle w:val="Platzhaltertext"/>
                <w:sz w:val="20"/>
                <w:szCs w:val="20"/>
              </w:rPr>
              <w:t>Li</w:t>
            </w:r>
            <w:r>
              <w:rPr>
                <w:rStyle w:val="Platzhaltertext"/>
                <w:sz w:val="20"/>
                <w:szCs w:val="20"/>
              </w:rPr>
              <w:t>ne number</w:t>
            </w:r>
          </w:p>
        </w:tc>
        <w:tc>
          <w:tcPr>
            <w:tcW w:w="1158" w:type="dxa"/>
          </w:tcPr>
          <w:p w:rsidR="00000000" w:rsidRDefault="00651B3C">
            <w:pPr>
              <w:keepLines/>
              <w:spacing w:before="40" w:after="40" w:line="240" w:lineRule="auto"/>
              <w:rPr>
                <w:rFonts w:cs="Times New Roman"/>
                <w:sz w:val="20"/>
                <w:szCs w:val="20"/>
                <w:lang w:val="en-US"/>
              </w:rPr>
            </w:pPr>
            <w:r>
              <w:rPr>
                <w:color w:val="808080"/>
              </w:rPr>
              <w:t>Editorial</w:t>
            </w:r>
          </w:p>
        </w:tc>
        <w:tc>
          <w:tcPr>
            <w:tcW w:w="10915" w:type="dxa"/>
          </w:tcPr>
          <w:p w:rsidR="00000000" w:rsidRDefault="00651B3C">
            <w:pPr>
              <w:keepLines/>
              <w:spacing w:after="60" w:line="240" w:lineRule="auto"/>
              <w:rPr>
                <w:rFonts w:cs="Times New Roman"/>
                <w:sz w:val="20"/>
                <w:szCs w:val="20"/>
                <w:lang w:val="en-US"/>
              </w:rPr>
            </w:pPr>
            <w:r>
              <w:rPr>
                <w:rFonts w:cs="Times New Roman"/>
                <w:sz w:val="20"/>
                <w:szCs w:val="20"/>
                <w:lang w:val="en-US"/>
              </w:rPr>
              <w:t>Current text:</w:t>
            </w:r>
            <w:r>
              <w:rPr>
                <w:rFonts w:cs="Times New Roman"/>
                <w:color w:val="000000"/>
                <w:sz w:val="20"/>
                <w:szCs w:val="20"/>
                <w:lang w:val="en-US"/>
              </w:rPr>
              <w:t xml:space="preserve"> </w:t>
            </w:r>
            <w:r>
              <w:rPr>
                <w:rStyle w:val="Platzhaltertext"/>
                <w:color w:val="000000"/>
                <w:sz w:val="20"/>
                <w:szCs w:val="20"/>
                <w:lang w:val="en-US"/>
              </w:rPr>
              <w:t>“between dry skin and dry skin”</w:t>
            </w:r>
          </w:p>
          <w:p w:rsidR="00000000" w:rsidRDefault="00651B3C">
            <w:pPr>
              <w:keepLines/>
              <w:spacing w:after="60" w:line="240" w:lineRule="auto"/>
              <w:rPr>
                <w:rFonts w:ascii="Times New Roman" w:hAnsi="Times New Roman" w:cs="Times New Roman"/>
                <w:lang w:val="en-US"/>
              </w:rPr>
            </w:pPr>
            <w:r>
              <w:rPr>
                <w:rStyle w:val="Platzhaltertext"/>
                <w:color w:val="000000"/>
                <w:sz w:val="20"/>
                <w:szCs w:val="20"/>
                <w:lang w:val="en-US"/>
              </w:rPr>
              <w:t xml:space="preserve">To change to: “between dry skin and </w:t>
            </w:r>
            <w:r>
              <w:rPr>
                <w:rStyle w:val="Platzhaltertext"/>
                <w:b/>
                <w:bCs/>
                <w:color w:val="000000"/>
                <w:sz w:val="20"/>
                <w:szCs w:val="20"/>
                <w:lang w:val="en-US"/>
              </w:rPr>
              <w:t xml:space="preserve">wet </w:t>
            </w:r>
            <w:r>
              <w:rPr>
                <w:rStyle w:val="Platzhaltertext"/>
                <w:color w:val="000000"/>
                <w:sz w:val="20"/>
                <w:szCs w:val="20"/>
                <w:lang w:val="en-US"/>
              </w:rPr>
              <w:t>skin”</w:t>
            </w:r>
          </w:p>
          <w:p w:rsidR="00000000" w:rsidRDefault="00651B3C">
            <w:pPr>
              <w:pStyle w:val="Default"/>
              <w:spacing w:after="60"/>
              <w:rPr>
                <w:rFonts w:ascii="Times New Roman" w:hAnsi="Times New Roman" w:cs="Times New Roman"/>
                <w:lang w:val="en-US"/>
              </w:rPr>
            </w:pPr>
            <w:r>
              <w:rPr>
                <w:rFonts w:ascii="Calibri"/>
                <w:sz w:val="20"/>
                <w:szCs w:val="20"/>
                <w:lang w:val="en-US"/>
              </w:rPr>
              <w:t>Typo</w:t>
            </w:r>
          </w:p>
        </w:tc>
      </w:tr>
      <w:tr w:rsidR="00000000">
        <w:trPr>
          <w:trHeight w:val="750"/>
        </w:trPr>
        <w:tc>
          <w:tcPr>
            <w:tcW w:w="846" w:type="dxa"/>
          </w:tcPr>
          <w:p w:rsidR="00000000" w:rsidRDefault="00651B3C">
            <w:pPr>
              <w:keepLines/>
              <w:spacing w:before="40" w:after="40" w:line="240" w:lineRule="auto"/>
              <w:jc w:val="center"/>
              <w:rPr>
                <w:rFonts w:cs="Times New Roman"/>
                <w:b/>
                <w:sz w:val="16"/>
                <w:szCs w:val="16"/>
                <w:lang w:val="en-GB"/>
              </w:rPr>
            </w:pPr>
            <w:r>
              <w:rPr>
                <w:rFonts w:cs="Times New Roman"/>
                <w:b/>
                <w:sz w:val="20"/>
                <w:szCs w:val="20"/>
                <w:lang w:val="en-US"/>
              </w:rPr>
              <w:t>12</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Appendix A</w:t>
            </w:r>
          </w:p>
        </w:tc>
        <w:tc>
          <w:tcPr>
            <w:tcW w:w="992" w:type="dxa"/>
          </w:tcPr>
          <w:p w:rsidR="00000000" w:rsidRDefault="00651B3C">
            <w:pPr>
              <w:keepLines/>
              <w:spacing w:before="40" w:after="40" w:line="240" w:lineRule="auto"/>
              <w:jc w:val="center"/>
              <w:rPr>
                <w:rFonts w:cs="Times New Roman"/>
                <w:sz w:val="20"/>
                <w:szCs w:val="20"/>
                <w:lang w:val="de-DE"/>
              </w:rPr>
            </w:pPr>
            <w:r>
              <w:rPr>
                <w:rStyle w:val="Zeilen"/>
              </w:rPr>
              <w:t>771</w:t>
            </w:r>
          </w:p>
        </w:tc>
        <w:tc>
          <w:tcPr>
            <w:tcW w:w="1158" w:type="dxa"/>
          </w:tcPr>
          <w:p w:rsidR="00000000" w:rsidRDefault="00651B3C">
            <w:pPr>
              <w:keepLines/>
              <w:spacing w:before="40" w:after="40" w:line="240" w:lineRule="auto"/>
              <w:rPr>
                <w:rFonts w:cs="Times New Roman"/>
                <w:sz w:val="20"/>
                <w:szCs w:val="20"/>
                <w:lang w:val="en-US"/>
              </w:rPr>
            </w:pPr>
            <w:r>
              <w:rPr>
                <w:color w:val="808080"/>
              </w:rPr>
              <w:t>Editorial</w:t>
            </w:r>
          </w:p>
        </w:tc>
        <w:tc>
          <w:tcPr>
            <w:tcW w:w="10915" w:type="dxa"/>
          </w:tcPr>
          <w:p w:rsidR="00000000" w:rsidRDefault="00651B3C">
            <w:pPr>
              <w:keepLines/>
              <w:spacing w:after="60" w:line="240" w:lineRule="auto"/>
              <w:rPr>
                <w:rFonts w:cs="Times New Roman"/>
                <w:sz w:val="20"/>
                <w:szCs w:val="20"/>
                <w:lang w:val="en-US"/>
              </w:rPr>
            </w:pPr>
            <w:r>
              <w:rPr>
                <w:rStyle w:val="Platzhaltertext"/>
                <w:color w:val="000000"/>
                <w:sz w:val="20"/>
                <w:szCs w:val="20"/>
                <w:lang w:val="en-US"/>
              </w:rPr>
              <w:t xml:space="preserve"> </w:t>
            </w:r>
            <w:r>
              <w:rPr>
                <w:rFonts w:cs="Times New Roman"/>
                <w:sz w:val="20"/>
                <w:szCs w:val="20"/>
                <w:lang w:val="en-US"/>
              </w:rPr>
              <w:t>Current text:</w:t>
            </w:r>
            <w:r>
              <w:rPr>
                <w:rFonts w:cs="Times New Roman"/>
                <w:color w:val="000000"/>
                <w:sz w:val="20"/>
                <w:szCs w:val="20"/>
                <w:lang w:val="en-US"/>
              </w:rPr>
              <w:t xml:space="preserve"> </w:t>
            </w:r>
            <w:r>
              <w:rPr>
                <w:rStyle w:val="Platzhaltertext"/>
                <w:color w:val="000000"/>
                <w:sz w:val="20"/>
                <w:szCs w:val="20"/>
                <w:lang w:val="en-US"/>
              </w:rPr>
              <w:t>“reference levels at 100 mA and</w:t>
            </w:r>
            <w:r>
              <w:rPr>
                <w:rStyle w:val="Platzhaltertext"/>
                <w:b/>
                <w:bCs/>
                <w:color w:val="000000"/>
                <w:sz w:val="20"/>
                <w:szCs w:val="20"/>
                <w:lang w:val="en-US"/>
              </w:rPr>
              <w:t xml:space="preserve"> 20</w:t>
            </w:r>
            <w:r>
              <w:rPr>
                <w:rStyle w:val="Platzhaltertext"/>
                <w:color w:val="000000"/>
                <w:sz w:val="20"/>
                <w:szCs w:val="20"/>
                <w:lang w:val="en-US"/>
              </w:rPr>
              <w:t xml:space="preserve"> mA”</w:t>
            </w:r>
          </w:p>
          <w:p w:rsidR="00000000" w:rsidRDefault="00651B3C">
            <w:pPr>
              <w:keepLines/>
              <w:spacing w:after="60" w:line="240" w:lineRule="auto"/>
              <w:rPr>
                <w:rFonts w:ascii="Times New Roman" w:hAnsi="Times New Roman" w:cs="Times New Roman"/>
                <w:lang w:val="en-US"/>
              </w:rPr>
            </w:pPr>
            <w:r>
              <w:rPr>
                <w:rStyle w:val="Platzhaltertext"/>
                <w:color w:val="000000"/>
                <w:sz w:val="20"/>
                <w:szCs w:val="20"/>
                <w:lang w:val="en-US"/>
              </w:rPr>
              <w:t xml:space="preserve">To change to: </w:t>
            </w:r>
            <w:r>
              <w:rPr>
                <w:rStyle w:val="Platzhaltertext"/>
                <w:color w:val="000000"/>
                <w:sz w:val="20"/>
                <w:szCs w:val="20"/>
                <w:lang w:val="en-US"/>
              </w:rPr>
              <w:t xml:space="preserve">“reference levels at 100 mA and </w:t>
            </w:r>
            <w:r>
              <w:rPr>
                <w:rStyle w:val="Platzhaltertext"/>
                <w:b/>
                <w:bCs/>
                <w:color w:val="000000"/>
                <w:sz w:val="20"/>
                <w:szCs w:val="20"/>
                <w:lang w:val="en-US"/>
              </w:rPr>
              <w:t xml:space="preserve">45 </w:t>
            </w:r>
            <w:r>
              <w:rPr>
                <w:rStyle w:val="Platzhaltertext"/>
                <w:color w:val="000000"/>
                <w:sz w:val="20"/>
                <w:szCs w:val="20"/>
                <w:lang w:val="en-US"/>
              </w:rPr>
              <w:t>mA”</w:t>
            </w:r>
          </w:p>
          <w:p w:rsidR="00000000" w:rsidRDefault="00651B3C">
            <w:pPr>
              <w:pStyle w:val="Default"/>
              <w:spacing w:after="60"/>
              <w:rPr>
                <w:rFonts w:ascii="Times New Roman" w:hAnsi="Times New Roman" w:cs="Times New Roman"/>
                <w:lang w:val="en-US"/>
              </w:rPr>
            </w:pPr>
            <w:r>
              <w:rPr>
                <w:rStyle w:val="Platzhaltertext"/>
                <w:rFonts w:ascii="Calibri"/>
                <w:color w:val="000000"/>
                <w:sz w:val="20"/>
                <w:szCs w:val="20"/>
                <w:lang w:val="en-US"/>
              </w:rPr>
              <w:t>Typ</w:t>
            </w:r>
            <w:r>
              <w:rPr>
                <w:rStyle w:val="Platzhaltertext"/>
                <w:rFonts w:ascii="Calibri"/>
                <w:color w:val="000000"/>
                <w:sz w:val="20"/>
                <w:szCs w:val="20"/>
                <w:lang w:val="en-US"/>
              </w:rPr>
              <w:t>o</w:t>
            </w:r>
          </w:p>
        </w:tc>
      </w:tr>
      <w:tr w:rsidR="00000000">
        <w:trPr>
          <w:trHeight w:val="750"/>
        </w:trPr>
        <w:tc>
          <w:tcPr>
            <w:tcW w:w="846" w:type="dxa"/>
          </w:tcPr>
          <w:p w:rsidR="00000000" w:rsidRDefault="00651B3C">
            <w:pPr>
              <w:keepLines/>
              <w:spacing w:before="40" w:after="40" w:line="240" w:lineRule="auto"/>
              <w:jc w:val="center"/>
              <w:rPr>
                <w:rFonts w:cs="Times New Roman"/>
                <w:b/>
                <w:sz w:val="16"/>
                <w:szCs w:val="16"/>
                <w:lang w:val="en-GB"/>
              </w:rPr>
            </w:pPr>
            <w:r>
              <w:rPr>
                <w:rFonts w:cs="Times New Roman"/>
                <w:b/>
                <w:sz w:val="20"/>
                <w:szCs w:val="20"/>
                <w:lang w:val="en-US"/>
              </w:rPr>
              <w:t>13</w:t>
            </w:r>
          </w:p>
        </w:tc>
        <w:tc>
          <w:tcPr>
            <w:tcW w:w="1276" w:type="dxa"/>
          </w:tcPr>
          <w:p w:rsidR="00000000" w:rsidRDefault="00651B3C">
            <w:pPr>
              <w:keepLines/>
              <w:spacing w:before="40" w:after="40" w:line="240" w:lineRule="auto"/>
              <w:rPr>
                <w:rFonts w:cs="Times New Roman"/>
                <w:sz w:val="20"/>
                <w:szCs w:val="20"/>
                <w:lang w:val="fr-FR"/>
              </w:rPr>
            </w:pPr>
            <w:r>
              <w:rPr>
                <w:rFonts w:cs="Times New Roman"/>
                <w:sz w:val="20"/>
                <w:szCs w:val="20"/>
                <w:lang w:val="de-DE"/>
              </w:rPr>
              <w:t>Appendix B</w:t>
            </w:r>
          </w:p>
        </w:tc>
        <w:tc>
          <w:tcPr>
            <w:tcW w:w="992" w:type="dxa"/>
          </w:tcPr>
          <w:p w:rsidR="00000000" w:rsidRDefault="00651B3C">
            <w:pPr>
              <w:keepLines/>
              <w:spacing w:before="40" w:after="40" w:line="240" w:lineRule="auto"/>
              <w:jc w:val="center"/>
              <w:rPr>
                <w:rFonts w:cs="Times New Roman"/>
                <w:sz w:val="20"/>
                <w:szCs w:val="20"/>
                <w:lang w:val="de-DE"/>
              </w:rPr>
            </w:pPr>
            <w:r>
              <w:rPr>
                <w:rStyle w:val="Platzhaltertext"/>
                <w:color w:val="000000"/>
                <w:sz w:val="20"/>
                <w:szCs w:val="20"/>
              </w:rPr>
              <w:t>192 - 194</w:t>
            </w:r>
          </w:p>
        </w:tc>
        <w:tc>
          <w:tcPr>
            <w:tcW w:w="1158" w:type="dxa"/>
          </w:tcPr>
          <w:p w:rsidR="00000000" w:rsidRDefault="00651B3C">
            <w:pPr>
              <w:keepLines/>
              <w:spacing w:before="40" w:after="40" w:line="240" w:lineRule="auto"/>
              <w:rPr>
                <w:rFonts w:cs="Times New Roman"/>
                <w:sz w:val="20"/>
                <w:szCs w:val="20"/>
                <w:lang w:val="en-US"/>
              </w:rPr>
            </w:pPr>
            <w:r>
              <w:rPr>
                <w:color w:val="808080"/>
              </w:rPr>
              <w:t>Technical</w:t>
            </w:r>
          </w:p>
        </w:tc>
        <w:tc>
          <w:tcPr>
            <w:tcW w:w="10915" w:type="dxa"/>
          </w:tcPr>
          <w:p w:rsidR="00000000" w:rsidRDefault="00651B3C">
            <w:pPr>
              <w:keepLines/>
              <w:spacing w:after="60" w:line="240" w:lineRule="auto"/>
              <w:rPr>
                <w:rFonts w:cs="Times New Roman"/>
                <w:sz w:val="20"/>
                <w:szCs w:val="20"/>
                <w:lang w:val="en-US"/>
              </w:rPr>
            </w:pPr>
            <w:r>
              <w:rPr>
                <w:rStyle w:val="Platzhaltertext"/>
                <w:color w:val="000000"/>
                <w:sz w:val="20"/>
                <w:szCs w:val="20"/>
                <w:lang w:val="en-US"/>
              </w:rPr>
              <w:t>Current text: “There is no evidence that the microwave hearing effect can affect health, and so the present Guidelines do not provide a restriction to specifically account for microwave hearing.”</w:t>
            </w:r>
          </w:p>
          <w:p w:rsidR="00000000" w:rsidRDefault="00651B3C">
            <w:pPr>
              <w:keepLines/>
              <w:spacing w:after="60" w:line="240" w:lineRule="auto"/>
              <w:rPr>
                <w:rFonts w:ascii="Times New Roman" w:hAnsi="Times New Roman" w:cs="Times New Roman"/>
                <w:lang w:val="en-US"/>
              </w:rPr>
            </w:pPr>
            <w:r>
              <w:rPr>
                <w:rStyle w:val="Platzhaltertext"/>
                <w:color w:val="000000"/>
                <w:sz w:val="20"/>
                <w:szCs w:val="20"/>
                <w:lang w:val="en-US"/>
              </w:rPr>
              <w:t>Question: Why not makin</w:t>
            </w:r>
            <w:r>
              <w:rPr>
                <w:rStyle w:val="Platzhaltertext"/>
                <w:color w:val="000000"/>
                <w:sz w:val="20"/>
                <w:szCs w:val="20"/>
                <w:lang w:val="en-US"/>
              </w:rPr>
              <w:t xml:space="preserve">g the distinction between health and sensory effects and using the related restrictions as the Directive 2013/35/EC does? A sensory effect restriction may be exceeded if the health effects restrictions are not exceeded. </w:t>
            </w:r>
          </w:p>
          <w:p w:rsidR="00000000" w:rsidRDefault="00651B3C">
            <w:pPr>
              <w:pStyle w:val="Default"/>
              <w:spacing w:after="60"/>
              <w:rPr>
                <w:rFonts w:ascii="Times New Roman" w:hAnsi="Times New Roman" w:cs="Times New Roman"/>
                <w:lang w:val="en-US"/>
              </w:rPr>
            </w:pPr>
            <w:r>
              <w:rPr>
                <w:rStyle w:val="Platzhaltertext"/>
                <w:rFonts w:ascii="Calibri" w:hAnsi="Calibri"/>
                <w:color w:val="000000"/>
                <w:sz w:val="20"/>
                <w:szCs w:val="20"/>
                <w:lang w:val="en-US"/>
              </w:rPr>
              <w:t>Maybe keeping providing a restricti</w:t>
            </w:r>
            <w:r>
              <w:rPr>
                <w:rStyle w:val="Platzhaltertext"/>
                <w:rFonts w:ascii="Calibri" w:hAnsi="Calibri"/>
                <w:color w:val="000000"/>
                <w:sz w:val="20"/>
                <w:szCs w:val="20"/>
                <w:lang w:val="en-US"/>
              </w:rPr>
              <w:t>on in terms of peak SA for hearing effect, together with setting a reference level for peak Hinc would help occupational risk assessors and managers to implement the right measures ?</w:t>
            </w:r>
          </w:p>
        </w:tc>
      </w:tr>
    </w:tbl>
    <w:p w:rsidR="00000000" w:rsidRDefault="00651B3C">
      <w:pPr>
        <w:tabs>
          <w:tab w:val="left" w:pos="5910"/>
        </w:tabs>
        <w:rPr>
          <w:rFonts w:ascii="Times New Roman" w:hAnsi="Times New Roman" w:cs="Times New Roman"/>
          <w:sz w:val="20"/>
          <w:szCs w:val="20"/>
          <w:lang w:val="en-US"/>
        </w:rPr>
      </w:pPr>
    </w:p>
    <w:sectPr w:rsidR="00000000">
      <w:headerReference w:type="default" r:id="rId7"/>
      <w:footerReference w:type="default" r:id="rId8"/>
      <w:pgSz w:w="16838" w:h="11906" w:orient="landscape"/>
      <w:pgMar w:top="1134" w:right="1417" w:bottom="0" w:left="1417" w:header="284"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51B3C">
      <w:pPr>
        <w:spacing w:after="0" w:line="240" w:lineRule="auto"/>
      </w:pPr>
      <w:r>
        <w:separator/>
      </w:r>
    </w:p>
  </w:endnote>
  <w:endnote w:type="continuationSeparator" w:id="0">
    <w:p w:rsidR="00000000" w:rsidRDefault="0065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51B3C">
    <w:pPr>
      <w:pStyle w:val="Fuzeile"/>
      <w:jc w:val="right"/>
    </w:pPr>
    <w:r>
      <w:fldChar w:fldCharType="begin"/>
    </w:r>
    <w:r>
      <w:instrText xml:space="preserve"> PAGE   \* MERGEFORMAT </w:instrText>
    </w:r>
    <w:r>
      <w:fldChar w:fldCharType="separate"/>
    </w:r>
    <w:r>
      <w:rPr>
        <w:noProof/>
      </w:rPr>
      <w:t>2</w:t>
    </w:r>
    <w:r>
      <w:fldChar w:fldCharType="end"/>
    </w:r>
  </w:p>
  <w:p w:rsidR="00000000" w:rsidRDefault="00651B3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51B3C">
      <w:pPr>
        <w:spacing w:after="0" w:line="240" w:lineRule="auto"/>
      </w:pPr>
      <w:r>
        <w:separator/>
      </w:r>
    </w:p>
  </w:footnote>
  <w:footnote w:type="continuationSeparator" w:id="0">
    <w:p w:rsidR="00000000" w:rsidRDefault="00651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51B3C">
    <w:pPr>
      <w:spacing w:before="120" w:after="0"/>
      <w:jc w:val="right"/>
      <w:rPr>
        <w:b/>
        <w:sz w:val="28"/>
        <w:szCs w:val="28"/>
        <w:lang w:val="en-GB"/>
      </w:rPr>
    </w:pPr>
    <w:r>
      <w:rPr>
        <w:noProof/>
        <w:sz w:val="28"/>
        <w:szCs w:val="28"/>
        <w:lang w:val="de-DE" w:eastAsia="de-DE"/>
      </w:rPr>
      <w:drawing>
        <wp:anchor distT="0" distB="0" distL="114300" distR="114300" simplePos="0" relativeHeight="251657728" behindDoc="0" locked="0" layoutInCell="1" allowOverlap="1">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GB"/>
      </w:rPr>
      <w:t xml:space="preserve"> Public Consultation Template - ICNIRP Draft RF Guidelines, Appendix A</w:t>
    </w:r>
    <w:r>
      <w:rPr>
        <w:b/>
        <w:sz w:val="28"/>
        <w:szCs w:val="28"/>
        <w:lang w:val="en-GB"/>
      </w:rPr>
      <w:t>, Appendix B</w:t>
    </w:r>
  </w:p>
  <w:p w:rsidR="00000000" w:rsidRDefault="00651B3C">
    <w:pPr>
      <w:tabs>
        <w:tab w:val="left" w:pos="1365"/>
        <w:tab w:val="right" w:pos="14004"/>
      </w:tabs>
      <w:spacing w:before="120" w:after="0"/>
      <w:rPr>
        <w:b/>
        <w:sz w:val="28"/>
        <w:szCs w:val="28"/>
        <w:lang w:val="en-GB"/>
      </w:rPr>
    </w:pPr>
    <w:r>
      <w:rPr>
        <w:b/>
        <w:sz w:val="28"/>
        <w:szCs w:val="28"/>
        <w:lang w:val="en-GB"/>
      </w:rPr>
      <w:tab/>
    </w:r>
    <w:r>
      <w:rPr>
        <w:b/>
        <w:sz w:val="28"/>
        <w:szCs w:val="28"/>
        <w:lang w:val="en-GB"/>
      </w:rPr>
      <w:tab/>
    </w:r>
    <w:r>
      <w:rPr>
        <w:b/>
        <w:sz w:val="28"/>
        <w:szCs w:val="28"/>
        <w:lang w:val="en-GB"/>
      </w:rPr>
      <w:t xml:space="preserve">Comments to be uploaded </w:t>
    </w:r>
    <w:r>
      <w:rPr>
        <w:b/>
        <w:color w:val="FF0000"/>
        <w:sz w:val="28"/>
        <w:szCs w:val="28"/>
        <w:lang w:val="en-GB"/>
      </w:rPr>
      <w:t>until 9.10.2018</w:t>
    </w:r>
  </w:p>
  <w:p w:rsidR="00000000" w:rsidRDefault="00651B3C">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1807"/>
    <w:multiLevelType w:val="multilevel"/>
    <w:tmpl w:val="120C1807"/>
    <w:lvl w:ilvl="0">
      <w:start w:val="1"/>
      <w:numFmt w:val="bullet"/>
      <w:lvlText w:val="-"/>
      <w:lvlJc w:val="left"/>
      <w:pPr>
        <w:ind w:left="720" w:hanging="360"/>
      </w:pPr>
      <w:rPr>
        <w:rFonts w:ascii="Verdana" w:eastAsia="Calibri"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B1C82"/>
    <w:rsid w:val="001B5468"/>
    <w:rsid w:val="001E6071"/>
    <w:rsid w:val="00201F2E"/>
    <w:rsid w:val="00213FD0"/>
    <w:rsid w:val="002170A1"/>
    <w:rsid w:val="00222AF4"/>
    <w:rsid w:val="00230B4C"/>
    <w:rsid w:val="00265023"/>
    <w:rsid w:val="00290D70"/>
    <w:rsid w:val="00294032"/>
    <w:rsid w:val="002D317C"/>
    <w:rsid w:val="002D7D45"/>
    <w:rsid w:val="002F7231"/>
    <w:rsid w:val="00320150"/>
    <w:rsid w:val="003342FE"/>
    <w:rsid w:val="003353F9"/>
    <w:rsid w:val="00340649"/>
    <w:rsid w:val="00353B5F"/>
    <w:rsid w:val="00393908"/>
    <w:rsid w:val="003B108A"/>
    <w:rsid w:val="003D4FDF"/>
    <w:rsid w:val="003D7F75"/>
    <w:rsid w:val="003F443D"/>
    <w:rsid w:val="0044572B"/>
    <w:rsid w:val="00485C5D"/>
    <w:rsid w:val="004A40C5"/>
    <w:rsid w:val="004D442C"/>
    <w:rsid w:val="004D5D25"/>
    <w:rsid w:val="004F6048"/>
    <w:rsid w:val="0055718F"/>
    <w:rsid w:val="0058609F"/>
    <w:rsid w:val="005A5050"/>
    <w:rsid w:val="005D6909"/>
    <w:rsid w:val="005E2F54"/>
    <w:rsid w:val="005F452C"/>
    <w:rsid w:val="00637475"/>
    <w:rsid w:val="006436C8"/>
    <w:rsid w:val="00651B3C"/>
    <w:rsid w:val="00653234"/>
    <w:rsid w:val="006542F9"/>
    <w:rsid w:val="006961FE"/>
    <w:rsid w:val="006B4727"/>
    <w:rsid w:val="006C28BC"/>
    <w:rsid w:val="006C7418"/>
    <w:rsid w:val="006F607F"/>
    <w:rsid w:val="0072354D"/>
    <w:rsid w:val="007426F4"/>
    <w:rsid w:val="0079604B"/>
    <w:rsid w:val="00797D35"/>
    <w:rsid w:val="007B4142"/>
    <w:rsid w:val="007C464C"/>
    <w:rsid w:val="007E7BEA"/>
    <w:rsid w:val="00810E10"/>
    <w:rsid w:val="00811628"/>
    <w:rsid w:val="00816C82"/>
    <w:rsid w:val="00890127"/>
    <w:rsid w:val="008967E0"/>
    <w:rsid w:val="00897768"/>
    <w:rsid w:val="008A1796"/>
    <w:rsid w:val="009048D6"/>
    <w:rsid w:val="00912C7D"/>
    <w:rsid w:val="00914300"/>
    <w:rsid w:val="00930B97"/>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D5665"/>
    <w:rsid w:val="00AF26DD"/>
    <w:rsid w:val="00B04707"/>
    <w:rsid w:val="00B11A75"/>
    <w:rsid w:val="00B57D63"/>
    <w:rsid w:val="00B71D14"/>
    <w:rsid w:val="00B75FED"/>
    <w:rsid w:val="00BA6332"/>
    <w:rsid w:val="00BB1DFA"/>
    <w:rsid w:val="00BE0558"/>
    <w:rsid w:val="00C30DEF"/>
    <w:rsid w:val="00C42FD5"/>
    <w:rsid w:val="00C61B9F"/>
    <w:rsid w:val="00C713DE"/>
    <w:rsid w:val="00C77DEE"/>
    <w:rsid w:val="00C86DBD"/>
    <w:rsid w:val="00C91A71"/>
    <w:rsid w:val="00CA629D"/>
    <w:rsid w:val="00CA694E"/>
    <w:rsid w:val="00CD62FA"/>
    <w:rsid w:val="00CE2A06"/>
    <w:rsid w:val="00D02E22"/>
    <w:rsid w:val="00D06339"/>
    <w:rsid w:val="00D107F5"/>
    <w:rsid w:val="00D47D17"/>
    <w:rsid w:val="00D567A7"/>
    <w:rsid w:val="00D62320"/>
    <w:rsid w:val="00D63578"/>
    <w:rsid w:val="00D90473"/>
    <w:rsid w:val="00D9531A"/>
    <w:rsid w:val="00DD0E6B"/>
    <w:rsid w:val="00E005A0"/>
    <w:rsid w:val="00E10082"/>
    <w:rsid w:val="00E31E4C"/>
    <w:rsid w:val="00E37B13"/>
    <w:rsid w:val="00E41FDD"/>
    <w:rsid w:val="00E56B1A"/>
    <w:rsid w:val="00E62FF4"/>
    <w:rsid w:val="00E63A6D"/>
    <w:rsid w:val="00E648CD"/>
    <w:rsid w:val="00E87755"/>
    <w:rsid w:val="00EA53C1"/>
    <w:rsid w:val="00EC5D6B"/>
    <w:rsid w:val="00EE0FC7"/>
    <w:rsid w:val="00F159F9"/>
    <w:rsid w:val="00F22B7F"/>
    <w:rsid w:val="00F22CDC"/>
    <w:rsid w:val="00F23CF6"/>
    <w:rsid w:val="00F37C0F"/>
    <w:rsid w:val="00F7174D"/>
    <w:rsid w:val="00F77C97"/>
    <w:rsid w:val="00FA5A86"/>
    <w:rsid w:val="00FB5ACA"/>
    <w:rsid w:val="00FC19A5"/>
    <w:rsid w:val="00FD2442"/>
    <w:rsid w:val="00FD5366"/>
    <w:rsid w:val="01AE0A05"/>
    <w:rsid w:val="01E32DAF"/>
    <w:rsid w:val="023D1D05"/>
    <w:rsid w:val="0279429C"/>
    <w:rsid w:val="03274D6D"/>
    <w:rsid w:val="03852B4A"/>
    <w:rsid w:val="05206356"/>
    <w:rsid w:val="075E6BEB"/>
    <w:rsid w:val="0E592645"/>
    <w:rsid w:val="113C49F7"/>
    <w:rsid w:val="12B6696C"/>
    <w:rsid w:val="14F6607C"/>
    <w:rsid w:val="155F78C8"/>
    <w:rsid w:val="182218E8"/>
    <w:rsid w:val="19572B1C"/>
    <w:rsid w:val="1B6F0BA8"/>
    <w:rsid w:val="1B8A458E"/>
    <w:rsid w:val="1D2C0B87"/>
    <w:rsid w:val="1D3B254C"/>
    <w:rsid w:val="1D486E22"/>
    <w:rsid w:val="22327830"/>
    <w:rsid w:val="26090E5E"/>
    <w:rsid w:val="267109E2"/>
    <w:rsid w:val="2A812E4D"/>
    <w:rsid w:val="2AA16199"/>
    <w:rsid w:val="2E4624E4"/>
    <w:rsid w:val="31C256B8"/>
    <w:rsid w:val="35C93857"/>
    <w:rsid w:val="362E6FE6"/>
    <w:rsid w:val="3657569B"/>
    <w:rsid w:val="37163A5C"/>
    <w:rsid w:val="399D1E9E"/>
    <w:rsid w:val="3A8151C0"/>
    <w:rsid w:val="40A16440"/>
    <w:rsid w:val="47C8233D"/>
    <w:rsid w:val="4BFF39B1"/>
    <w:rsid w:val="4CAC3230"/>
    <w:rsid w:val="4D6318F6"/>
    <w:rsid w:val="4EE132A7"/>
    <w:rsid w:val="50A5526F"/>
    <w:rsid w:val="536E1946"/>
    <w:rsid w:val="5734542A"/>
    <w:rsid w:val="5D503B41"/>
    <w:rsid w:val="63626FAD"/>
    <w:rsid w:val="66837084"/>
    <w:rsid w:val="67E6103F"/>
    <w:rsid w:val="69D91891"/>
    <w:rsid w:val="6A094BA1"/>
    <w:rsid w:val="6C3961AF"/>
    <w:rsid w:val="70A60CF9"/>
    <w:rsid w:val="72761ECC"/>
    <w:rsid w:val="75176DE9"/>
    <w:rsid w:val="75E45FBF"/>
    <w:rsid w:val="76131D02"/>
    <w:rsid w:val="763C683C"/>
    <w:rsid w:val="7B4558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8DE52ED-CAA3-491F-8554-B1912609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val="nl-NL" w:eastAsia="en-US"/>
    </w:rPr>
  </w:style>
  <w:style w:type="paragraph" w:styleId="berschrift1">
    <w:name w:val="heading 1"/>
    <w:basedOn w:val="Standard"/>
    <w:next w:val="Standard"/>
    <w:link w:val="berschrift1Zchn"/>
    <w:uiPriority w:val="9"/>
    <w:qFormat/>
    <w:pPr>
      <w:keepNext/>
      <w:keepLines/>
      <w:spacing w:before="480" w:after="0"/>
      <w:outlineLvl w:val="0"/>
    </w:pPr>
    <w:rPr>
      <w:rFonts w:ascii="Cambria" w:eastAsia="SimSun" w:hAnsi="Cambria" w:cs="Times New Roman"/>
      <w:b/>
      <w:bCs/>
      <w:color w:val="366091"/>
      <w:sz w:val="28"/>
      <w:szCs w:val="28"/>
    </w:rPr>
  </w:style>
  <w:style w:type="paragraph" w:styleId="berschrift2">
    <w:name w:val="heading 2"/>
    <w:basedOn w:val="berschrift1"/>
    <w:next w:val="Standard"/>
    <w:link w:val="berschrift2Zchn"/>
    <w:qFormat/>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unhideWhenUsed/>
    <w:qFormat/>
  </w:style>
  <w:style w:type="table" w:default="1" w:styleId="NormaleTabelle">
    <w:name w:val="Normal Table"/>
    <w:uiPriority w:val="99"/>
    <w:unhideWhenUsed/>
    <w:qFormat/>
    <w:tblPr>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rTextZchn">
    <w:name w:val="Nur Text Zchn"/>
    <w:basedOn w:val="Absatz-Standardschriftart"/>
    <w:link w:val="NurText"/>
    <w:uiPriority w:val="99"/>
    <w:semiHidden/>
    <w:qFormat/>
    <w:rPr>
      <w:rFonts w:ascii="Consolas" w:hAnsi="Consolas" w:cs="Consolas"/>
      <w:sz w:val="21"/>
      <w:szCs w:val="21"/>
    </w:rPr>
  </w:style>
  <w:style w:type="character" w:customStyle="1" w:styleId="berschrift2Zchn">
    <w:name w:val="Überschrift 2 Zchn"/>
    <w:basedOn w:val="Absatz-Standardschriftart"/>
    <w:link w:val="berschrift2"/>
    <w:qFormat/>
    <w:rPr>
      <w:rFonts w:ascii="Arial" w:eastAsia="Times New Roman" w:hAnsi="Arial" w:cs="Arial"/>
      <w:b/>
      <w:bCs/>
      <w:lang w:val="en-GB"/>
    </w:rPr>
  </w:style>
  <w:style w:type="character" w:styleId="BesuchterHyperlink">
    <w:name w:val="FollowedHyperlink"/>
    <w:basedOn w:val="Absatz-Standardschriftart"/>
    <w:uiPriority w:val="99"/>
    <w:unhideWhenUsed/>
    <w:qFormat/>
    <w:rPr>
      <w:color w:val="800080"/>
      <w:u w:val="single"/>
    </w:rPr>
  </w:style>
  <w:style w:type="character" w:styleId="Platzhaltertext">
    <w:name w:val="Placeholder Text"/>
    <w:basedOn w:val="Absatz-Standardschriftart"/>
    <w:uiPriority w:val="99"/>
    <w:semiHidden/>
    <w:qFormat/>
    <w:rPr>
      <w:color w:val="808080"/>
    </w:rPr>
  </w:style>
  <w:style w:type="character" w:customStyle="1" w:styleId="FuzeileZchn">
    <w:name w:val="Fußzeile Zchn"/>
    <w:basedOn w:val="Absatz-Standardschriftart"/>
    <w:link w:val="Fuzeile"/>
    <w:uiPriority w:val="99"/>
    <w:qFormat/>
  </w:style>
  <w:style w:type="character" w:styleId="Zeilennummer">
    <w:name w:val="line number"/>
    <w:basedOn w:val="Absatz-Standardschriftart"/>
    <w:uiPriority w:val="99"/>
    <w:unhideWhenUsed/>
    <w:qFormat/>
  </w:style>
  <w:style w:type="character" w:customStyle="1" w:styleId="Zeilen">
    <w:name w:val="Zeilen"/>
    <w:basedOn w:val="Zeilennummer"/>
    <w:uiPriority w:val="1"/>
    <w:qFormat/>
  </w:style>
  <w:style w:type="character" w:customStyle="1" w:styleId="KopfzeileZchn">
    <w:name w:val="Kopfzeile Zchn"/>
    <w:basedOn w:val="Absatz-Standardschriftart"/>
    <w:link w:val="Kopfzeile"/>
    <w:uiPriority w:val="99"/>
    <w:qFormat/>
  </w:style>
  <w:style w:type="character" w:customStyle="1" w:styleId="berschrift1Zchn">
    <w:name w:val="Überschrift 1 Zchn"/>
    <w:basedOn w:val="Absatz-Standardschriftart"/>
    <w:link w:val="berschrift1"/>
    <w:uiPriority w:val="9"/>
    <w:qFormat/>
    <w:rPr>
      <w:rFonts w:ascii="Cambria" w:eastAsia="SimSun" w:hAnsi="Cambria" w:cs="Times New Roman"/>
      <w:b/>
      <w:bCs/>
      <w:color w:val="366091"/>
      <w:sz w:val="28"/>
      <w:szCs w:val="28"/>
    </w:rPr>
  </w:style>
  <w:style w:type="character" w:styleId="Hyperlink">
    <w:name w:val="Hyperlink"/>
    <w:qFormat/>
    <w:rPr>
      <w:color w:val="0000FF"/>
      <w:u w:val="single"/>
    </w:rPr>
  </w:style>
  <w:style w:type="character" w:customStyle="1" w:styleId="Formatvorlage1">
    <w:name w:val="Formatvorlage1"/>
    <w:basedOn w:val="Zeilennummer"/>
    <w:uiPriority w:val="1"/>
    <w:qFormat/>
  </w:style>
  <w:style w:type="character" w:customStyle="1" w:styleId="SprechblasentextZchn">
    <w:name w:val="Sprechblasentext Zchn"/>
    <w:basedOn w:val="Absatz-Standardschriftart"/>
    <w:link w:val="Sprechblasentext"/>
    <w:uiPriority w:val="99"/>
    <w:semiHidden/>
    <w:qFormat/>
    <w:rPr>
      <w:rFonts w:ascii="Tahoma" w:hAnsi="Tahoma" w:cs="Tahoma"/>
      <w:sz w:val="16"/>
      <w:szCs w:val="16"/>
    </w:rPr>
  </w:style>
  <w:style w:type="paragraph" w:customStyle="1" w:styleId="1AutoList1">
    <w:name w:val="1AutoList1"/>
    <w:qFormat/>
    <w:pPr>
      <w:widowControl w:val="0"/>
      <w:tabs>
        <w:tab w:val="left" w:pos="720"/>
      </w:tabs>
      <w:ind w:left="720" w:hanging="720"/>
      <w:jc w:val="both"/>
    </w:pPr>
    <w:rPr>
      <w:rFonts w:ascii="Times New Roman" w:eastAsia="SimSun" w:hAnsi="Times New Roman" w:cs="Times New Roman"/>
      <w:sz w:val="24"/>
      <w:lang w:val="en-US" w:eastAsia="en-US"/>
    </w:rPr>
  </w:style>
  <w:style w:type="paragraph" w:styleId="Kopfzeile">
    <w:name w:val="header"/>
    <w:basedOn w:val="Standard"/>
    <w:link w:val="KopfzeileZchn"/>
    <w:uiPriority w:val="99"/>
    <w:unhideWhenUsed/>
    <w:qFormat/>
    <w:pPr>
      <w:tabs>
        <w:tab w:val="center" w:pos="4536"/>
        <w:tab w:val="right" w:pos="9072"/>
      </w:tabs>
      <w:spacing w:after="0" w:line="240" w:lineRule="auto"/>
    </w:pPr>
  </w:style>
  <w:style w:type="paragraph" w:styleId="NurText">
    <w:name w:val="Plain Text"/>
    <w:basedOn w:val="Standard"/>
    <w:link w:val="NurTextZchn"/>
    <w:uiPriority w:val="99"/>
    <w:unhideWhenUsed/>
    <w:qFormat/>
    <w:pPr>
      <w:spacing w:after="0" w:line="240" w:lineRule="auto"/>
    </w:pPr>
    <w:rPr>
      <w:rFonts w:ascii="Consolas" w:hAnsi="Consolas" w:cs="Consolas"/>
      <w:sz w:val="21"/>
      <w:szCs w:val="21"/>
    </w:rPr>
  </w:style>
  <w:style w:type="paragraph" w:customStyle="1" w:styleId="Default">
    <w:name w:val="Default"/>
    <w:qFormat/>
    <w:pPr>
      <w:autoSpaceDE w:val="0"/>
      <w:autoSpaceDN w:val="0"/>
      <w:adjustRightInd w:val="0"/>
    </w:pPr>
    <w:rPr>
      <w:rFonts w:ascii="Univers" w:hAnsi="Univers" w:cs="Univers"/>
      <w:color w:val="000000"/>
      <w:sz w:val="24"/>
      <w:szCs w:val="24"/>
      <w:lang w:val="it-IT" w:eastAsia="en-US"/>
    </w:rPr>
  </w:style>
  <w:style w:type="paragraph" w:styleId="Sprechblasentext">
    <w:name w:val="Balloon Text"/>
    <w:basedOn w:val="Standard"/>
    <w:link w:val="SprechblasentextZchn"/>
    <w:uiPriority w:val="99"/>
    <w:unhideWhenUsed/>
    <w:qFormat/>
    <w:pPr>
      <w:spacing w:after="0" w:line="240" w:lineRule="auto"/>
    </w:pPr>
    <w:rPr>
      <w:rFonts w:ascii="Tahoma" w:hAnsi="Tahoma" w:cs="Tahoma"/>
      <w:sz w:val="16"/>
      <w:szCs w:val="16"/>
    </w:rPr>
  </w:style>
  <w:style w:type="paragraph" w:styleId="Fuzeile">
    <w:name w:val="footer"/>
    <w:basedOn w:val="Standard"/>
    <w:link w:val="FuzeileZchn"/>
    <w:uiPriority w:val="99"/>
    <w:unhideWhenUsed/>
    <w:qFormat/>
    <w:pPr>
      <w:tabs>
        <w:tab w:val="center" w:pos="4536"/>
        <w:tab w:val="right" w:pos="9072"/>
      </w:tabs>
      <w:spacing w:after="0" w:line="240" w:lineRule="auto"/>
    </w:p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7868</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Rongen</dc:creator>
  <cp:keywords/>
  <cp:lastModifiedBy>Karine Chabrel</cp:lastModifiedBy>
  <cp:revision>2</cp:revision>
  <dcterms:created xsi:type="dcterms:W3CDTF">2020-02-21T11:57:00Z</dcterms:created>
  <dcterms:modified xsi:type="dcterms:W3CDTF">2020-02-21T11:57:00Z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